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737F" w14:textId="3273C365" w:rsidR="00492EDC" w:rsidRDefault="00542EF7" w:rsidP="00542EF7">
      <w:pPr>
        <w:pStyle w:val="Title"/>
        <w:jc w:val="center"/>
        <w:rPr>
          <w:sz w:val="36"/>
          <w:szCs w:val="36"/>
        </w:rPr>
      </w:pPr>
      <w:bookmarkStart w:id="0" w:name="_GoBack"/>
      <w:bookmarkEnd w:id="0"/>
      <w:r w:rsidRPr="00542EF7">
        <w:rPr>
          <w:sz w:val="36"/>
          <w:szCs w:val="36"/>
        </w:rPr>
        <w:t xml:space="preserve">Proposal: Representation for </w:t>
      </w:r>
      <w:r>
        <w:rPr>
          <w:sz w:val="36"/>
          <w:szCs w:val="36"/>
        </w:rPr>
        <w:t>n</w:t>
      </w:r>
      <w:r w:rsidRPr="00542EF7">
        <w:rPr>
          <w:sz w:val="36"/>
          <w:szCs w:val="36"/>
        </w:rPr>
        <w:t>on-</w:t>
      </w:r>
      <w:r>
        <w:rPr>
          <w:sz w:val="36"/>
          <w:szCs w:val="36"/>
        </w:rPr>
        <w:t>t</w:t>
      </w:r>
      <w:r w:rsidRPr="00542EF7">
        <w:rPr>
          <w:sz w:val="36"/>
          <w:szCs w:val="36"/>
        </w:rPr>
        <w:t xml:space="preserve">enure </w:t>
      </w:r>
      <w:r>
        <w:rPr>
          <w:sz w:val="36"/>
          <w:szCs w:val="36"/>
        </w:rPr>
        <w:t>t</w:t>
      </w:r>
      <w:r w:rsidRPr="00542EF7">
        <w:rPr>
          <w:sz w:val="36"/>
          <w:szCs w:val="36"/>
        </w:rPr>
        <w:t xml:space="preserve">rack </w:t>
      </w:r>
      <w:r>
        <w:rPr>
          <w:sz w:val="36"/>
          <w:szCs w:val="36"/>
        </w:rPr>
        <w:t>f</w:t>
      </w:r>
      <w:r w:rsidRPr="00542EF7">
        <w:rPr>
          <w:sz w:val="36"/>
          <w:szCs w:val="36"/>
        </w:rPr>
        <w:t>aculty on Faculty Senate, post-academic unit reorganization</w:t>
      </w:r>
    </w:p>
    <w:p w14:paraId="1E1BCE4A" w14:textId="2BC5A322" w:rsidR="00542EF7" w:rsidRDefault="00542EF7" w:rsidP="00542EF7"/>
    <w:p w14:paraId="7891A246" w14:textId="1678B3DD" w:rsidR="2C08A378" w:rsidRDefault="2C08A378" w:rsidP="2C08A378">
      <w:pPr>
        <w:rPr>
          <w:rFonts w:eastAsiaTheme="minorEastAsia"/>
          <w:sz w:val="24"/>
          <w:szCs w:val="24"/>
        </w:rPr>
      </w:pPr>
      <w:r w:rsidRPr="2C08A378">
        <w:rPr>
          <w:rFonts w:eastAsiaTheme="minorEastAsia"/>
          <w:sz w:val="24"/>
          <w:szCs w:val="24"/>
        </w:rPr>
        <w:t>The Collected Rules and Regulations (</w:t>
      </w:r>
      <w:hyperlink r:id="rId5">
        <w:r w:rsidRPr="2C08A378">
          <w:rPr>
            <w:rStyle w:val="Hyperlink"/>
            <w:rFonts w:eastAsiaTheme="minorEastAsia"/>
            <w:sz w:val="24"/>
            <w:szCs w:val="24"/>
          </w:rPr>
          <w:t>310.035 Non-Tenure Track Faculty</w:t>
        </w:r>
      </w:hyperlink>
      <w:r w:rsidRPr="2C08A378">
        <w:rPr>
          <w:rFonts w:eastAsiaTheme="minorEastAsia"/>
          <w:sz w:val="24"/>
          <w:szCs w:val="24"/>
        </w:rPr>
        <w:t>) provide definitions within academic appointments for two categories of faculty, regular and non-regular, and three sub-categories within the latter:</w:t>
      </w:r>
    </w:p>
    <w:p w14:paraId="6E227324" w14:textId="35019E96" w:rsidR="2C08A378" w:rsidRDefault="2C08A378" w:rsidP="2C08A378">
      <w:pPr>
        <w:pStyle w:val="ListParagraph"/>
        <w:numPr>
          <w:ilvl w:val="0"/>
          <w:numId w:val="1"/>
        </w:numPr>
        <w:rPr>
          <w:rFonts w:eastAsiaTheme="minorEastAsia"/>
          <w:sz w:val="24"/>
          <w:szCs w:val="24"/>
        </w:rPr>
      </w:pPr>
      <w:r w:rsidRPr="2C08A378">
        <w:rPr>
          <w:rFonts w:eastAsiaTheme="minorEastAsia"/>
          <w:sz w:val="24"/>
          <w:szCs w:val="24"/>
        </w:rPr>
        <w:t>Regular faculty</w:t>
      </w:r>
    </w:p>
    <w:p w14:paraId="69069A1E" w14:textId="44689309" w:rsidR="2C08A378" w:rsidRDefault="2C08A378" w:rsidP="2C08A378">
      <w:pPr>
        <w:pStyle w:val="ListParagraph"/>
        <w:numPr>
          <w:ilvl w:val="1"/>
          <w:numId w:val="1"/>
        </w:numPr>
        <w:rPr>
          <w:rFonts w:eastAsiaTheme="minorEastAsia"/>
          <w:sz w:val="24"/>
          <w:szCs w:val="24"/>
        </w:rPr>
      </w:pPr>
      <w:r w:rsidRPr="2C08A378">
        <w:rPr>
          <w:rFonts w:eastAsiaTheme="minorEastAsia"/>
          <w:sz w:val="24"/>
          <w:szCs w:val="24"/>
        </w:rPr>
        <w:t>Ranked, tenured and tenure-track faculty (T/TT)</w:t>
      </w:r>
    </w:p>
    <w:p w14:paraId="6C47A63E" w14:textId="06B6A57E" w:rsidR="2C08A378" w:rsidRDefault="2C08A378" w:rsidP="2C08A378">
      <w:pPr>
        <w:pStyle w:val="ListParagraph"/>
        <w:numPr>
          <w:ilvl w:val="0"/>
          <w:numId w:val="1"/>
        </w:numPr>
        <w:rPr>
          <w:rFonts w:eastAsiaTheme="minorEastAsia"/>
          <w:sz w:val="24"/>
          <w:szCs w:val="24"/>
        </w:rPr>
      </w:pPr>
      <w:r w:rsidRPr="2C08A378">
        <w:rPr>
          <w:rFonts w:eastAsiaTheme="minorEastAsia"/>
          <w:color w:val="000000" w:themeColor="text1"/>
          <w:sz w:val="24"/>
          <w:szCs w:val="24"/>
        </w:rPr>
        <w:t>Non-regular faculty</w:t>
      </w:r>
    </w:p>
    <w:p w14:paraId="51D6D02F" w14:textId="3A4984AB" w:rsidR="2C08A378" w:rsidRDefault="2C08A378" w:rsidP="2C08A378">
      <w:pPr>
        <w:pStyle w:val="ListParagraph"/>
        <w:numPr>
          <w:ilvl w:val="1"/>
          <w:numId w:val="1"/>
        </w:numPr>
        <w:rPr>
          <w:rFonts w:eastAsiaTheme="minorEastAsia"/>
          <w:sz w:val="24"/>
          <w:szCs w:val="24"/>
        </w:rPr>
      </w:pPr>
      <w:r w:rsidRPr="2C08A378">
        <w:rPr>
          <w:rFonts w:eastAsiaTheme="minorEastAsia"/>
          <w:color w:val="000000" w:themeColor="text1"/>
          <w:sz w:val="24"/>
          <w:szCs w:val="24"/>
        </w:rPr>
        <w:t>Full-time, ranked, non-regular, non-tenure track faculty (NTT)</w:t>
      </w:r>
    </w:p>
    <w:p w14:paraId="6C83EEA9" w14:textId="26992E70" w:rsidR="2C08A378" w:rsidRDefault="2C08A378" w:rsidP="2C08A378">
      <w:pPr>
        <w:pStyle w:val="ListParagraph"/>
        <w:numPr>
          <w:ilvl w:val="1"/>
          <w:numId w:val="1"/>
        </w:numPr>
        <w:rPr>
          <w:rFonts w:eastAsiaTheme="minorEastAsia"/>
          <w:color w:val="000000" w:themeColor="text1"/>
          <w:sz w:val="24"/>
          <w:szCs w:val="24"/>
        </w:rPr>
      </w:pPr>
      <w:r w:rsidRPr="2C08A378">
        <w:rPr>
          <w:rFonts w:eastAsiaTheme="minorEastAsia"/>
          <w:color w:val="000000" w:themeColor="text1"/>
          <w:sz w:val="24"/>
          <w:szCs w:val="24"/>
        </w:rPr>
        <w:t>Full-time, unranked, non-regular faculty; titles include instructor, lecturer, senior lecturer and visiting professor (unranked)</w:t>
      </w:r>
    </w:p>
    <w:p w14:paraId="57D100AF" w14:textId="59D111AF" w:rsidR="2C08A378" w:rsidRDefault="2C08A378" w:rsidP="2C08A378">
      <w:pPr>
        <w:pStyle w:val="ListParagraph"/>
        <w:numPr>
          <w:ilvl w:val="1"/>
          <w:numId w:val="1"/>
        </w:numPr>
        <w:rPr>
          <w:rFonts w:eastAsiaTheme="minorEastAsia"/>
          <w:sz w:val="24"/>
          <w:szCs w:val="24"/>
        </w:rPr>
      </w:pPr>
      <w:r w:rsidRPr="2C08A378">
        <w:rPr>
          <w:rFonts w:eastAsiaTheme="minorEastAsia"/>
          <w:color w:val="000000" w:themeColor="text1"/>
          <w:sz w:val="24"/>
          <w:szCs w:val="24"/>
        </w:rPr>
        <w:t>Part-time, non-regular faculty (adjunct faculty)</w:t>
      </w:r>
    </w:p>
    <w:p w14:paraId="65E266CA" w14:textId="64B84A08" w:rsidR="00D51C37" w:rsidRDefault="2C08A378" w:rsidP="2C08A378">
      <w:pPr>
        <w:rPr>
          <w:rFonts w:eastAsiaTheme="minorEastAsia"/>
          <w:sz w:val="24"/>
          <w:szCs w:val="24"/>
        </w:rPr>
      </w:pPr>
      <w:r w:rsidRPr="2C08A378">
        <w:rPr>
          <w:rFonts w:eastAsiaTheme="minorEastAsia"/>
          <w:sz w:val="24"/>
          <w:szCs w:val="24"/>
        </w:rPr>
        <w:t>According to data from the UMKC Data Warehouse obtained March 18, 2022, this is the breakdown of ranked non-tenure track (NTT) faculty, tenured and tenure-track faculty (T/TT), and unranked faculty:</w:t>
      </w:r>
    </w:p>
    <w:p w14:paraId="368F2254" w14:textId="16E20C7E" w:rsidR="00380EC8" w:rsidRPr="00380EC8" w:rsidRDefault="2C08A378" w:rsidP="2C08A378">
      <w:pPr>
        <w:pStyle w:val="ListParagraph"/>
        <w:numPr>
          <w:ilvl w:val="0"/>
          <w:numId w:val="4"/>
        </w:numPr>
        <w:rPr>
          <w:rFonts w:eastAsiaTheme="minorEastAsia"/>
          <w:sz w:val="24"/>
          <w:szCs w:val="24"/>
        </w:rPr>
      </w:pPr>
      <w:r w:rsidRPr="2C08A378">
        <w:rPr>
          <w:rFonts w:eastAsiaTheme="minorEastAsia"/>
          <w:sz w:val="24"/>
          <w:szCs w:val="24"/>
        </w:rPr>
        <w:t>Ranked NTT</w:t>
      </w:r>
      <w:r w:rsidR="00380EC8">
        <w:tab/>
      </w:r>
      <w:r w:rsidR="00380EC8">
        <w:tab/>
      </w:r>
      <w:r w:rsidRPr="2C08A378">
        <w:rPr>
          <w:rFonts w:eastAsiaTheme="minorEastAsia"/>
          <w:sz w:val="24"/>
          <w:szCs w:val="24"/>
        </w:rPr>
        <w:t>252</w:t>
      </w:r>
    </w:p>
    <w:p w14:paraId="2C24C137" w14:textId="4DF4C6EA" w:rsidR="00380EC8" w:rsidRPr="00380EC8" w:rsidRDefault="2C08A378" w:rsidP="2C08A378">
      <w:pPr>
        <w:pStyle w:val="ListParagraph"/>
        <w:numPr>
          <w:ilvl w:val="0"/>
          <w:numId w:val="4"/>
        </w:numPr>
        <w:rPr>
          <w:rFonts w:eastAsiaTheme="minorEastAsia"/>
          <w:sz w:val="24"/>
          <w:szCs w:val="24"/>
        </w:rPr>
      </w:pPr>
      <w:r w:rsidRPr="2C08A378">
        <w:rPr>
          <w:rFonts w:eastAsiaTheme="minorEastAsia"/>
          <w:sz w:val="24"/>
          <w:szCs w:val="24"/>
        </w:rPr>
        <w:t>T/TT</w:t>
      </w:r>
      <w:r w:rsidR="00380EC8">
        <w:tab/>
      </w:r>
      <w:r w:rsidR="00380EC8">
        <w:tab/>
      </w:r>
      <w:r w:rsidR="00380EC8">
        <w:tab/>
      </w:r>
      <w:r w:rsidRPr="2C08A378">
        <w:rPr>
          <w:rFonts w:eastAsiaTheme="minorEastAsia"/>
          <w:sz w:val="24"/>
          <w:szCs w:val="24"/>
        </w:rPr>
        <w:t>325</w:t>
      </w:r>
    </w:p>
    <w:p w14:paraId="52C85650" w14:textId="25242FD1" w:rsidR="00380EC8" w:rsidRPr="00380EC8" w:rsidRDefault="2C08A378" w:rsidP="2C08A378">
      <w:pPr>
        <w:pStyle w:val="ListParagraph"/>
        <w:numPr>
          <w:ilvl w:val="0"/>
          <w:numId w:val="4"/>
        </w:numPr>
        <w:rPr>
          <w:rFonts w:eastAsiaTheme="minorEastAsia"/>
          <w:sz w:val="24"/>
          <w:szCs w:val="24"/>
        </w:rPr>
      </w:pPr>
      <w:r w:rsidRPr="2C08A378">
        <w:rPr>
          <w:rFonts w:eastAsiaTheme="minorEastAsia"/>
          <w:sz w:val="24"/>
          <w:szCs w:val="24"/>
        </w:rPr>
        <w:t>Unranked</w:t>
      </w:r>
      <w:r w:rsidR="00380EC8">
        <w:tab/>
      </w:r>
      <w:r w:rsidR="00380EC8">
        <w:tab/>
      </w:r>
      <w:r w:rsidRPr="2C08A378">
        <w:rPr>
          <w:rFonts w:eastAsiaTheme="minorEastAsia"/>
          <w:sz w:val="24"/>
          <w:szCs w:val="24"/>
        </w:rPr>
        <w:t>617</w:t>
      </w:r>
    </w:p>
    <w:p w14:paraId="01F75025" w14:textId="5A81F941" w:rsidR="00D51C37" w:rsidRPr="00276DB0" w:rsidRDefault="00EB3446" w:rsidP="00542EF7">
      <w:pPr>
        <w:rPr>
          <w:sz w:val="24"/>
          <w:szCs w:val="24"/>
        </w:rPr>
      </w:pPr>
      <w:r>
        <w:rPr>
          <w:sz w:val="24"/>
          <w:szCs w:val="24"/>
        </w:rPr>
        <w:t>Therefore, a</w:t>
      </w:r>
      <w:r w:rsidR="00736754">
        <w:rPr>
          <w:sz w:val="24"/>
          <w:szCs w:val="24"/>
        </w:rPr>
        <w:t xml:space="preserve"> minimum number of </w:t>
      </w:r>
      <w:r w:rsidR="00D51C37">
        <w:rPr>
          <w:sz w:val="24"/>
          <w:szCs w:val="24"/>
        </w:rPr>
        <w:t>NTT</w:t>
      </w:r>
      <w:r w:rsidR="00736754">
        <w:rPr>
          <w:sz w:val="24"/>
          <w:szCs w:val="24"/>
        </w:rPr>
        <w:t xml:space="preserve"> representatives </w:t>
      </w:r>
      <w:r w:rsidR="00D51C37">
        <w:rPr>
          <w:sz w:val="24"/>
          <w:szCs w:val="24"/>
        </w:rPr>
        <w:t>on Faculty Senate should be guaranteed in the Faculty Senate Bylaws</w:t>
      </w:r>
      <w:r w:rsidR="00D404B7">
        <w:rPr>
          <w:sz w:val="24"/>
          <w:szCs w:val="24"/>
        </w:rPr>
        <w:t xml:space="preserve">, as opposed to being </w:t>
      </w:r>
      <w:r w:rsidR="00D51C37">
        <w:rPr>
          <w:sz w:val="24"/>
          <w:szCs w:val="24"/>
        </w:rPr>
        <w:t xml:space="preserve">left up to chance, happenstance, or the varying electoral practices of the academic units. </w:t>
      </w:r>
    </w:p>
    <w:p w14:paraId="513A4C7E" w14:textId="76B99D3C" w:rsidR="00A4286B" w:rsidRDefault="3CC112AE" w:rsidP="3CC112AE">
      <w:pPr>
        <w:rPr>
          <w:sz w:val="24"/>
          <w:szCs w:val="24"/>
        </w:rPr>
      </w:pPr>
      <w:r w:rsidRPr="3CC112AE">
        <w:rPr>
          <w:sz w:val="24"/>
          <w:szCs w:val="24"/>
        </w:rPr>
        <w:t>Academic units with a significant percentage of both NTT and T/TT faculty should be encouraged</w:t>
      </w:r>
      <w:r w:rsidR="00046214">
        <w:rPr>
          <w:sz w:val="24"/>
          <w:szCs w:val="24"/>
        </w:rPr>
        <w:t xml:space="preserve">, if not required, </w:t>
      </w:r>
      <w:r w:rsidRPr="3CC112AE">
        <w:rPr>
          <w:sz w:val="24"/>
          <w:szCs w:val="24"/>
        </w:rPr>
        <w:t>by Faculty Senate to elect a minimum of one NTT and one T/TT Senator as their unit representatives. This is a current practice</w:t>
      </w:r>
      <w:r w:rsidR="00E41C20">
        <w:rPr>
          <w:sz w:val="24"/>
          <w:szCs w:val="24"/>
        </w:rPr>
        <w:t xml:space="preserve"> (</w:t>
      </w:r>
      <w:r w:rsidRPr="3CC112AE">
        <w:rPr>
          <w:sz w:val="24"/>
          <w:szCs w:val="24"/>
        </w:rPr>
        <w:t>even if it is not a Bylaw or documented Standard Operating Procedure</w:t>
      </w:r>
      <w:r w:rsidR="00E41C20">
        <w:rPr>
          <w:sz w:val="24"/>
          <w:szCs w:val="24"/>
        </w:rPr>
        <w:t xml:space="preserve">) </w:t>
      </w:r>
      <w:r w:rsidRPr="3CC112AE">
        <w:rPr>
          <w:sz w:val="24"/>
          <w:szCs w:val="24"/>
        </w:rPr>
        <w:t>in units such as the School of Nursing and Health Sciences</w:t>
      </w:r>
      <w:r w:rsidR="00046214">
        <w:rPr>
          <w:sz w:val="24"/>
          <w:szCs w:val="24"/>
        </w:rPr>
        <w:t>.</w:t>
      </w:r>
    </w:p>
    <w:p w14:paraId="7A32B8AE" w14:textId="7996B40F" w:rsidR="00D51C37" w:rsidRPr="00276DB0" w:rsidRDefault="2C08A378" w:rsidP="00A4286B">
      <w:pPr>
        <w:rPr>
          <w:rFonts w:cstheme="minorHAnsi"/>
          <w:sz w:val="24"/>
          <w:szCs w:val="24"/>
        </w:rPr>
      </w:pPr>
      <w:r w:rsidRPr="2C08A378">
        <w:rPr>
          <w:sz w:val="24"/>
          <w:szCs w:val="24"/>
        </w:rPr>
        <w:t>Additionally, UMKC Faculty Senators historically are elected from within their academic unit, are embedded within their unit as teachers and researchers in their unit’s disciplines, are in close communication and working relationships with their unit colleagues, and perform a primary function of two-way communication between the faculty of their unit and Faculty Senate. Therefore, we propose mechanism</w:t>
      </w:r>
      <w:r w:rsidR="00046214">
        <w:rPr>
          <w:sz w:val="24"/>
          <w:szCs w:val="24"/>
        </w:rPr>
        <w:t>s</w:t>
      </w:r>
      <w:r w:rsidRPr="2C08A378">
        <w:rPr>
          <w:sz w:val="24"/>
          <w:szCs w:val="24"/>
        </w:rPr>
        <w:t xml:space="preserve"> for minimum representation from regular elections instead of a system of electing at-large Senators of a particular faculty type. </w:t>
      </w:r>
    </w:p>
    <w:p w14:paraId="24B707A9" w14:textId="498C03EC" w:rsidR="2C08A378" w:rsidRDefault="2C08A378" w:rsidP="2C08A378">
      <w:pPr>
        <w:pStyle w:val="Heading1"/>
      </w:pPr>
      <w:r>
        <w:lastRenderedPageBreak/>
        <w:t>Proposal #1: Minimum one NTT and one T/TT representative per unit</w:t>
      </w:r>
    </w:p>
    <w:p w14:paraId="381D24C1" w14:textId="12E817AB" w:rsidR="2C08A378" w:rsidRDefault="2C08A378" w:rsidP="2C08A378">
      <w:pPr>
        <w:rPr>
          <w:sz w:val="24"/>
          <w:szCs w:val="24"/>
        </w:rPr>
      </w:pPr>
      <w:r w:rsidRPr="2C08A378">
        <w:rPr>
          <w:sz w:val="24"/>
          <w:szCs w:val="24"/>
        </w:rPr>
        <w:t xml:space="preserve">In the Faculty Senate Bylaws, </w:t>
      </w:r>
      <w:r w:rsidR="00A00745">
        <w:rPr>
          <w:sz w:val="24"/>
          <w:szCs w:val="24"/>
        </w:rPr>
        <w:t>specify</w:t>
      </w:r>
      <w:r w:rsidRPr="2C08A378">
        <w:rPr>
          <w:sz w:val="24"/>
          <w:szCs w:val="24"/>
        </w:rPr>
        <w:t xml:space="preserve"> that units with NTT and T/TT faculty must elect </w:t>
      </w:r>
      <w:r w:rsidR="00A00745">
        <w:rPr>
          <w:sz w:val="24"/>
          <w:szCs w:val="24"/>
        </w:rPr>
        <w:t>at least one</w:t>
      </w:r>
      <w:r w:rsidRPr="2C08A378">
        <w:rPr>
          <w:sz w:val="24"/>
          <w:szCs w:val="24"/>
        </w:rPr>
        <w:t xml:space="preserve"> representative of each type:</w:t>
      </w:r>
    </w:p>
    <w:p w14:paraId="2160D31D" w14:textId="258697D1" w:rsidR="2C08A378" w:rsidRDefault="2C08A378" w:rsidP="2C08A378">
      <w:pPr>
        <w:ind w:left="720"/>
        <w:rPr>
          <w:sz w:val="24"/>
          <w:szCs w:val="24"/>
        </w:rPr>
      </w:pPr>
      <w:r w:rsidRPr="2C08A378">
        <w:rPr>
          <w:sz w:val="24"/>
          <w:szCs w:val="24"/>
        </w:rPr>
        <w:t xml:space="preserve">Academic units shall elect a minimum of one non-tenure track Faculty representative, and a minimum of one tenure-track Faculty representative if the academic unit employs Faculty in both categories. </w:t>
      </w:r>
    </w:p>
    <w:p w14:paraId="316CB876" w14:textId="78111887" w:rsidR="00AC6C90" w:rsidRPr="00991032" w:rsidRDefault="00C741EB" w:rsidP="00991032">
      <w:pPr>
        <w:rPr>
          <w:sz w:val="24"/>
          <w:szCs w:val="24"/>
        </w:rPr>
      </w:pPr>
      <w:r>
        <w:rPr>
          <w:sz w:val="24"/>
          <w:szCs w:val="24"/>
        </w:rPr>
        <w:t xml:space="preserve">Explanation: </w:t>
      </w:r>
    </w:p>
    <w:p w14:paraId="7740C63E" w14:textId="2755CAD5" w:rsidR="00C741EB" w:rsidRDefault="00C741EB" w:rsidP="00C741EB">
      <w:pPr>
        <w:rPr>
          <w:sz w:val="24"/>
          <w:szCs w:val="24"/>
        </w:rPr>
      </w:pPr>
      <w:r>
        <w:rPr>
          <w:sz w:val="24"/>
          <w:szCs w:val="24"/>
        </w:rPr>
        <w:t xml:space="preserve">This proposal is based on the example communicated </w:t>
      </w:r>
      <w:r w:rsidR="00991032">
        <w:rPr>
          <w:sz w:val="24"/>
          <w:szCs w:val="24"/>
        </w:rPr>
        <w:t>to UMKC Faculty Senate by</w:t>
      </w:r>
      <w:r>
        <w:rPr>
          <w:sz w:val="24"/>
          <w:szCs w:val="24"/>
        </w:rPr>
        <w:t xml:space="preserve"> academic units who use this system in their elections currently, either voluntarily or as stated in their unit Bylaws or Standard Operating Procedures (no documentation available at this time).</w:t>
      </w:r>
    </w:p>
    <w:p w14:paraId="387822B5" w14:textId="1DAEB936" w:rsidR="00542EF7" w:rsidRDefault="2C08A378" w:rsidP="00542EF7">
      <w:pPr>
        <w:pStyle w:val="Heading1"/>
      </w:pPr>
      <w:r>
        <w:t>Proposal #2: Common minimum for each category across all units</w:t>
      </w:r>
    </w:p>
    <w:p w14:paraId="1C437354" w14:textId="3272EC69" w:rsidR="00542EF7" w:rsidRPr="00276DB0" w:rsidRDefault="2C08A378" w:rsidP="2C08A378">
      <w:pPr>
        <w:rPr>
          <w:sz w:val="24"/>
          <w:szCs w:val="24"/>
        </w:rPr>
      </w:pPr>
      <w:r w:rsidRPr="2C08A378">
        <w:rPr>
          <w:sz w:val="24"/>
          <w:szCs w:val="24"/>
        </w:rPr>
        <w:t>In the Faculty Senate Bylaws, guarantee a minimum total number of Senators</w:t>
      </w:r>
      <w:r w:rsidR="00A00745">
        <w:rPr>
          <w:sz w:val="24"/>
          <w:szCs w:val="24"/>
        </w:rPr>
        <w:t xml:space="preserve"> from each category (NTT and T/TT) by specifying that the regular elections must produce the minimum, and providing a mechanism to achieve the minimum if they do not</w:t>
      </w:r>
      <w:r w:rsidRPr="2C08A378">
        <w:rPr>
          <w:sz w:val="24"/>
          <w:szCs w:val="24"/>
        </w:rPr>
        <w:t>:</w:t>
      </w:r>
    </w:p>
    <w:p w14:paraId="1DA87A8C" w14:textId="4C2E691A" w:rsidR="00542EF7" w:rsidRPr="00F66869" w:rsidRDefault="00542EF7" w:rsidP="00F66869">
      <w:pPr>
        <w:ind w:left="720"/>
        <w:rPr>
          <w:rStyle w:val="Strong"/>
          <w:rFonts w:cstheme="minorHAnsi"/>
          <w:b w:val="0"/>
          <w:bCs w:val="0"/>
          <w:sz w:val="24"/>
          <w:szCs w:val="24"/>
        </w:rPr>
      </w:pPr>
      <w:r w:rsidRPr="00F66869">
        <w:rPr>
          <w:rStyle w:val="Strong"/>
          <w:rFonts w:cstheme="minorHAnsi"/>
          <w:color w:val="000000"/>
          <w:sz w:val="24"/>
          <w:szCs w:val="24"/>
          <w:bdr w:val="none" w:sz="0" w:space="0" w:color="auto" w:frame="1"/>
        </w:rPr>
        <w:t xml:space="preserve">Minimum Number of </w:t>
      </w:r>
      <w:r w:rsidR="00276DB0" w:rsidRPr="00F66869">
        <w:rPr>
          <w:rStyle w:val="Strong"/>
          <w:rFonts w:cstheme="minorHAnsi"/>
          <w:color w:val="000000"/>
          <w:sz w:val="24"/>
          <w:szCs w:val="24"/>
          <w:bdr w:val="none" w:sz="0" w:space="0" w:color="auto" w:frame="1"/>
        </w:rPr>
        <w:t xml:space="preserve">NTT and </w:t>
      </w:r>
      <w:r w:rsidRPr="00F66869">
        <w:rPr>
          <w:rStyle w:val="Strong"/>
          <w:rFonts w:cstheme="minorHAnsi"/>
          <w:color w:val="000000"/>
          <w:sz w:val="24"/>
          <w:szCs w:val="24"/>
          <w:bdr w:val="none" w:sz="0" w:space="0" w:color="auto" w:frame="1"/>
        </w:rPr>
        <w:t>T/TT Representatives:</w:t>
      </w:r>
    </w:p>
    <w:p w14:paraId="243D8B88" w14:textId="0524AECA" w:rsidR="00F66869" w:rsidRDefault="2C08A378" w:rsidP="3CC112AE">
      <w:pPr>
        <w:ind w:left="720"/>
        <w:rPr>
          <w:sz w:val="24"/>
          <w:szCs w:val="24"/>
        </w:rPr>
      </w:pPr>
      <w:r w:rsidRPr="2C08A378">
        <w:rPr>
          <w:color w:val="000000" w:themeColor="text1"/>
          <w:sz w:val="24"/>
          <w:szCs w:val="24"/>
        </w:rPr>
        <w:t>The minimum number of NTT faculty representatives on the Faculty Senate shall be [X], and the minimum number of T/TT faculty representatives on Senate shall be [X]. If, as the result of academic unit selections of representatives, fewer than [X] NTT faculty or [X] T/TT faculty are included in the makeup of Faculty Senate on [the election deadline] of any year, Faculty Senate shall organize and hold a special election of the respective full-time NTT or T/TT faculty to achieve the minimum. Only NTT faculty will vote in a special election for an NTT representative; only T/TT faculty will vote in a special election for a T/TT representative.</w:t>
      </w:r>
    </w:p>
    <w:p w14:paraId="676985DC" w14:textId="7572E4C9" w:rsidR="00276DB0" w:rsidRDefault="2C08A378" w:rsidP="3CC112AE">
      <w:pPr>
        <w:ind w:left="720"/>
        <w:rPr>
          <w:color w:val="000000"/>
          <w:sz w:val="24"/>
          <w:szCs w:val="24"/>
        </w:rPr>
      </w:pPr>
      <w:r w:rsidRPr="2C08A378">
        <w:rPr>
          <w:color w:val="000000" w:themeColor="text1"/>
          <w:sz w:val="24"/>
          <w:szCs w:val="24"/>
        </w:rPr>
        <w:t>The selected representatives will be added to the Faculty Senate in addition to those chosen by the academic unit selections, and their addition may increase the size of Faculty Senate to more than [Y] representatives. Representatives elected in special elections will serve regular two-year terms.</w:t>
      </w:r>
    </w:p>
    <w:p w14:paraId="7B49922C" w14:textId="79450D48" w:rsidR="00F66869" w:rsidRPr="00F66869" w:rsidRDefault="00F66869" w:rsidP="00F66869">
      <w:pPr>
        <w:rPr>
          <w:rFonts w:cstheme="minorHAnsi"/>
          <w:sz w:val="24"/>
          <w:szCs w:val="24"/>
        </w:rPr>
      </w:pPr>
      <w:r>
        <w:rPr>
          <w:rFonts w:cstheme="minorHAnsi"/>
          <w:sz w:val="24"/>
          <w:szCs w:val="24"/>
        </w:rPr>
        <w:t>Explanation:</w:t>
      </w:r>
    </w:p>
    <w:p w14:paraId="3D2339D7" w14:textId="21CBE3CB" w:rsidR="00A4286B" w:rsidRPr="00F66869" w:rsidRDefault="00542EF7" w:rsidP="00276DB0">
      <w:pPr>
        <w:pStyle w:val="ListParagraph"/>
        <w:numPr>
          <w:ilvl w:val="0"/>
          <w:numId w:val="3"/>
        </w:numPr>
        <w:rPr>
          <w:rFonts w:cstheme="minorHAnsi"/>
          <w:sz w:val="24"/>
          <w:szCs w:val="24"/>
        </w:rPr>
      </w:pPr>
      <w:r w:rsidRPr="00276DB0">
        <w:rPr>
          <w:rFonts w:cstheme="minorHAnsi"/>
          <w:color w:val="000000"/>
          <w:sz w:val="24"/>
          <w:szCs w:val="24"/>
        </w:rPr>
        <w:t>In which [X] is the same number for T/TT and NTT representatives</w:t>
      </w:r>
      <w:r w:rsidR="00A4286B" w:rsidRPr="00276DB0">
        <w:rPr>
          <w:rFonts w:cstheme="minorHAnsi"/>
          <w:color w:val="000000"/>
          <w:sz w:val="24"/>
          <w:szCs w:val="24"/>
        </w:rPr>
        <w:t xml:space="preserve">. </w:t>
      </w:r>
    </w:p>
    <w:p w14:paraId="25EE98B2" w14:textId="7E7A4252" w:rsidR="00F66869" w:rsidRPr="007D663F" w:rsidRDefault="2C08A378" w:rsidP="2C08A378">
      <w:pPr>
        <w:pStyle w:val="ListParagraph"/>
        <w:numPr>
          <w:ilvl w:val="1"/>
          <w:numId w:val="3"/>
        </w:numPr>
        <w:rPr>
          <w:sz w:val="24"/>
          <w:szCs w:val="24"/>
        </w:rPr>
      </w:pPr>
      <w:r w:rsidRPr="2C08A378">
        <w:rPr>
          <w:color w:val="000000" w:themeColor="text1"/>
          <w:sz w:val="24"/>
          <w:szCs w:val="24"/>
        </w:rPr>
        <w:t xml:space="preserve">Specifying a common minimum for both of the major categories of faculty is an equitable approach to minimum representation quotas. </w:t>
      </w:r>
    </w:p>
    <w:p w14:paraId="1DBF374F" w14:textId="620F974E" w:rsidR="00542EF7" w:rsidRPr="00BD6E08" w:rsidRDefault="00A4286B" w:rsidP="00276DB0">
      <w:pPr>
        <w:pStyle w:val="ListParagraph"/>
        <w:numPr>
          <w:ilvl w:val="0"/>
          <w:numId w:val="3"/>
        </w:numPr>
        <w:rPr>
          <w:rFonts w:cstheme="minorHAnsi"/>
          <w:sz w:val="24"/>
          <w:szCs w:val="24"/>
        </w:rPr>
      </w:pPr>
      <w:r w:rsidRPr="00276DB0">
        <w:rPr>
          <w:rFonts w:cstheme="minorHAnsi"/>
          <w:color w:val="000000"/>
          <w:sz w:val="24"/>
          <w:szCs w:val="24"/>
        </w:rPr>
        <w:t>I</w:t>
      </w:r>
      <w:r w:rsidR="00542EF7" w:rsidRPr="00276DB0">
        <w:rPr>
          <w:rFonts w:cstheme="minorHAnsi"/>
          <w:color w:val="000000"/>
          <w:sz w:val="24"/>
          <w:szCs w:val="24"/>
        </w:rPr>
        <w:t xml:space="preserve">n which [X] is a number agreed upon by the current Senate after </w:t>
      </w:r>
      <w:r w:rsidRPr="00276DB0">
        <w:rPr>
          <w:rFonts w:cstheme="minorHAnsi"/>
          <w:color w:val="000000"/>
          <w:sz w:val="24"/>
          <w:szCs w:val="24"/>
        </w:rPr>
        <w:t>we determine our new governance body size</w:t>
      </w:r>
      <w:r w:rsidR="007D663F">
        <w:rPr>
          <w:rFonts w:cstheme="minorHAnsi"/>
          <w:color w:val="000000"/>
          <w:sz w:val="24"/>
          <w:szCs w:val="24"/>
        </w:rPr>
        <w:t xml:space="preserve"> and makeup</w:t>
      </w:r>
      <w:r w:rsidRPr="00276DB0">
        <w:rPr>
          <w:rFonts w:cstheme="minorHAnsi"/>
          <w:color w:val="000000"/>
          <w:sz w:val="24"/>
          <w:szCs w:val="24"/>
        </w:rPr>
        <w:t xml:space="preserve"> for the post-unit reorganization Senate.</w:t>
      </w:r>
    </w:p>
    <w:p w14:paraId="43BFE07B" w14:textId="49DB55E0" w:rsidR="00A4286B" w:rsidRPr="007D663F" w:rsidRDefault="00BD6E08" w:rsidP="007D663F">
      <w:pPr>
        <w:pStyle w:val="ListParagraph"/>
        <w:numPr>
          <w:ilvl w:val="1"/>
          <w:numId w:val="3"/>
        </w:numPr>
        <w:rPr>
          <w:rFonts w:cstheme="minorHAnsi"/>
          <w:sz w:val="24"/>
          <w:szCs w:val="24"/>
        </w:rPr>
      </w:pPr>
      <w:r>
        <w:rPr>
          <w:rFonts w:cstheme="minorHAnsi"/>
          <w:color w:val="000000"/>
          <w:sz w:val="24"/>
          <w:szCs w:val="24"/>
        </w:rPr>
        <w:t>This minimum number can not be finalized until the general representation approach or formula is decided.</w:t>
      </w:r>
    </w:p>
    <w:p w14:paraId="5DB6D727" w14:textId="14B08349" w:rsidR="00F66869" w:rsidRPr="00F66869" w:rsidRDefault="00F66869" w:rsidP="00F66869">
      <w:pPr>
        <w:pStyle w:val="ListParagraph"/>
        <w:numPr>
          <w:ilvl w:val="0"/>
          <w:numId w:val="3"/>
        </w:numPr>
        <w:rPr>
          <w:rFonts w:cstheme="minorHAnsi"/>
          <w:sz w:val="24"/>
          <w:szCs w:val="24"/>
        </w:rPr>
      </w:pPr>
      <w:r>
        <w:rPr>
          <w:rFonts w:cstheme="minorHAnsi"/>
          <w:sz w:val="24"/>
          <w:szCs w:val="24"/>
        </w:rPr>
        <w:lastRenderedPageBreak/>
        <w:t xml:space="preserve">In which [Y] is </w:t>
      </w:r>
      <w:r>
        <w:rPr>
          <w:rFonts w:cstheme="minorHAnsi"/>
          <w:color w:val="000000"/>
          <w:sz w:val="24"/>
          <w:szCs w:val="24"/>
        </w:rPr>
        <w:t xml:space="preserve">the </w:t>
      </w:r>
      <w:r w:rsidRPr="00F66869">
        <w:rPr>
          <w:rFonts w:cstheme="minorHAnsi"/>
          <w:color w:val="000000"/>
          <w:sz w:val="24"/>
          <w:szCs w:val="24"/>
        </w:rPr>
        <w:t xml:space="preserve">maximum </w:t>
      </w:r>
      <w:r>
        <w:rPr>
          <w:rFonts w:cstheme="minorHAnsi"/>
          <w:color w:val="000000"/>
          <w:sz w:val="24"/>
          <w:szCs w:val="24"/>
        </w:rPr>
        <w:t xml:space="preserve">total </w:t>
      </w:r>
      <w:r w:rsidRPr="00F66869">
        <w:rPr>
          <w:rFonts w:cstheme="minorHAnsi"/>
          <w:color w:val="000000"/>
          <w:sz w:val="24"/>
          <w:szCs w:val="24"/>
        </w:rPr>
        <w:t>number of Senators specified in the Bylaws</w:t>
      </w:r>
      <w:r>
        <w:rPr>
          <w:rFonts w:cstheme="minorHAnsi"/>
          <w:sz w:val="24"/>
          <w:szCs w:val="24"/>
        </w:rPr>
        <w:t xml:space="preserve">. </w:t>
      </w:r>
    </w:p>
    <w:p w14:paraId="705A8291" w14:textId="2ACB8B97" w:rsidR="00F66869" w:rsidRPr="00F66869" w:rsidRDefault="00F66869" w:rsidP="00F66869">
      <w:pPr>
        <w:pStyle w:val="ListParagraph"/>
        <w:numPr>
          <w:ilvl w:val="1"/>
          <w:numId w:val="3"/>
        </w:numPr>
        <w:rPr>
          <w:rFonts w:cstheme="minorHAnsi"/>
          <w:sz w:val="24"/>
          <w:szCs w:val="24"/>
        </w:rPr>
      </w:pPr>
      <w:r>
        <w:rPr>
          <w:rFonts w:cstheme="minorHAnsi"/>
          <w:color w:val="000000"/>
          <w:sz w:val="24"/>
          <w:szCs w:val="24"/>
        </w:rPr>
        <w:t xml:space="preserve">If the new Faculty Senate Bylaws do not specify a maximum Senate size, this may be omitted: </w:t>
      </w:r>
    </w:p>
    <w:p w14:paraId="0368CD77" w14:textId="51079427" w:rsidR="00F66869" w:rsidRPr="00276DB0" w:rsidRDefault="00F66869" w:rsidP="00F66869">
      <w:pPr>
        <w:pStyle w:val="ListParagraph"/>
        <w:numPr>
          <w:ilvl w:val="1"/>
          <w:numId w:val="3"/>
        </w:numPr>
        <w:rPr>
          <w:rFonts w:cstheme="minorHAnsi"/>
          <w:sz w:val="24"/>
          <w:szCs w:val="24"/>
        </w:rPr>
      </w:pPr>
      <w:r>
        <w:rPr>
          <w:rFonts w:cstheme="minorHAnsi"/>
          <w:color w:val="000000"/>
          <w:sz w:val="24"/>
          <w:szCs w:val="24"/>
        </w:rPr>
        <w:t>“</w:t>
      </w:r>
      <w:r w:rsidRPr="00F66869">
        <w:rPr>
          <w:rFonts w:cstheme="minorHAnsi"/>
          <w:color w:val="000000"/>
          <w:sz w:val="24"/>
          <w:szCs w:val="24"/>
        </w:rPr>
        <w:t>and their addition may increase the size of Faculty Senate to more than [</w:t>
      </w:r>
      <w:r>
        <w:rPr>
          <w:rFonts w:cstheme="minorHAnsi"/>
          <w:color w:val="000000"/>
          <w:sz w:val="24"/>
          <w:szCs w:val="24"/>
        </w:rPr>
        <w:t>Y</w:t>
      </w:r>
      <w:r w:rsidRPr="00F66869">
        <w:rPr>
          <w:rFonts w:cstheme="minorHAnsi"/>
          <w:color w:val="000000"/>
          <w:sz w:val="24"/>
          <w:szCs w:val="24"/>
        </w:rPr>
        <w:t>] full-time faculty ranked faculty representatives.</w:t>
      </w:r>
      <w:r>
        <w:rPr>
          <w:rFonts w:cstheme="minorHAnsi"/>
          <w:color w:val="000000"/>
          <w:sz w:val="24"/>
          <w:szCs w:val="24"/>
        </w:rPr>
        <w:t>”</w:t>
      </w:r>
    </w:p>
    <w:p w14:paraId="34FCD6EE" w14:textId="461D2E69" w:rsidR="00542EF7" w:rsidRPr="00BD6E08" w:rsidRDefault="00A4286B" w:rsidP="00BD6E08">
      <w:pPr>
        <w:rPr>
          <w:rFonts w:cstheme="minorHAnsi"/>
          <w:sz w:val="24"/>
          <w:szCs w:val="24"/>
        </w:rPr>
      </w:pPr>
      <w:r w:rsidRPr="00276DB0">
        <w:rPr>
          <w:rFonts w:cstheme="minorHAnsi"/>
          <w:sz w:val="24"/>
          <w:szCs w:val="24"/>
        </w:rPr>
        <w:t xml:space="preserve">This proposal is based on the system used by the </w:t>
      </w:r>
      <w:hyperlink r:id="rId6" w:history="1">
        <w:r w:rsidRPr="00276DB0">
          <w:rPr>
            <w:rStyle w:val="Hyperlink"/>
            <w:rFonts w:cstheme="minorHAnsi"/>
            <w:sz w:val="24"/>
            <w:szCs w:val="24"/>
          </w:rPr>
          <w:t>MU Faculty Council of University Policy</w:t>
        </w:r>
      </w:hyperlink>
      <w:r w:rsidRPr="00276DB0">
        <w:rPr>
          <w:rFonts w:cstheme="minorHAnsi"/>
          <w:sz w:val="24"/>
          <w:szCs w:val="24"/>
        </w:rPr>
        <w:t xml:space="preserve"> (the MU faculty governance body) as described in </w:t>
      </w:r>
      <w:hyperlink r:id="rId7" w:history="1">
        <w:r w:rsidRPr="00276DB0">
          <w:rPr>
            <w:rStyle w:val="Hyperlink"/>
            <w:rFonts w:cstheme="minorHAnsi"/>
            <w:sz w:val="24"/>
            <w:szCs w:val="24"/>
          </w:rPr>
          <w:t>CRR 300.010 Faculty Bylaws of the University of Missouri-Columbia</w:t>
        </w:r>
      </w:hyperlink>
      <w:r w:rsidR="00276DB0" w:rsidRPr="00276DB0">
        <w:rPr>
          <w:rFonts w:cstheme="minorHAnsi"/>
          <w:sz w:val="24"/>
          <w:szCs w:val="24"/>
        </w:rPr>
        <w:t xml:space="preserve"> under H. Faculty Council on UMC Policy, specifically H. 3</w:t>
      </w:r>
      <w:r w:rsidR="00276DB0" w:rsidRPr="00276DB0">
        <w:rPr>
          <w:rFonts w:cstheme="minorHAnsi"/>
          <w:b/>
          <w:bCs/>
          <w:sz w:val="24"/>
          <w:szCs w:val="24"/>
        </w:rPr>
        <w:t xml:space="preserve">. </w:t>
      </w:r>
      <w:r w:rsidR="00276DB0" w:rsidRPr="00276DB0">
        <w:rPr>
          <w:rStyle w:val="Strong"/>
          <w:rFonts w:cstheme="minorHAnsi"/>
          <w:b w:val="0"/>
          <w:bCs w:val="0"/>
          <w:color w:val="000000"/>
          <w:sz w:val="24"/>
          <w:szCs w:val="24"/>
          <w:bdr w:val="none" w:sz="0" w:space="0" w:color="auto" w:frame="1"/>
        </w:rPr>
        <w:t>Allocation of Representatives and H. 4. Minimum Number of T/TT and NTT Representatives</w:t>
      </w:r>
      <w:r w:rsidR="007D663F">
        <w:rPr>
          <w:rFonts w:cstheme="minorHAnsi"/>
          <w:sz w:val="24"/>
          <w:szCs w:val="24"/>
        </w:rPr>
        <w:t>.</w:t>
      </w:r>
    </w:p>
    <w:sectPr w:rsidR="00542EF7" w:rsidRPr="00BD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424"/>
    <w:multiLevelType w:val="hybridMultilevel"/>
    <w:tmpl w:val="9F58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264FB"/>
    <w:multiLevelType w:val="hybridMultilevel"/>
    <w:tmpl w:val="7CC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4306"/>
    <w:multiLevelType w:val="hybridMultilevel"/>
    <w:tmpl w:val="19682A90"/>
    <w:lvl w:ilvl="0" w:tplc="48A8BCAC">
      <w:start w:val="1"/>
      <w:numFmt w:val="bullet"/>
      <w:lvlText w:val=""/>
      <w:lvlJc w:val="left"/>
      <w:pPr>
        <w:ind w:left="720" w:hanging="360"/>
      </w:pPr>
      <w:rPr>
        <w:rFonts w:ascii="Symbol" w:hAnsi="Symbol" w:hint="default"/>
      </w:rPr>
    </w:lvl>
    <w:lvl w:ilvl="1" w:tplc="A672E38C">
      <w:start w:val="1"/>
      <w:numFmt w:val="bullet"/>
      <w:lvlText w:val="o"/>
      <w:lvlJc w:val="left"/>
      <w:pPr>
        <w:ind w:left="1440" w:hanging="360"/>
      </w:pPr>
      <w:rPr>
        <w:rFonts w:ascii="Courier New" w:hAnsi="Courier New" w:hint="default"/>
      </w:rPr>
    </w:lvl>
    <w:lvl w:ilvl="2" w:tplc="18549BE4">
      <w:start w:val="1"/>
      <w:numFmt w:val="bullet"/>
      <w:lvlText w:val=""/>
      <w:lvlJc w:val="left"/>
      <w:pPr>
        <w:ind w:left="2160" w:hanging="360"/>
      </w:pPr>
      <w:rPr>
        <w:rFonts w:ascii="Wingdings" w:hAnsi="Wingdings" w:hint="default"/>
      </w:rPr>
    </w:lvl>
    <w:lvl w:ilvl="3" w:tplc="20FA8C92">
      <w:start w:val="1"/>
      <w:numFmt w:val="bullet"/>
      <w:lvlText w:val=""/>
      <w:lvlJc w:val="left"/>
      <w:pPr>
        <w:ind w:left="2880" w:hanging="360"/>
      </w:pPr>
      <w:rPr>
        <w:rFonts w:ascii="Symbol" w:hAnsi="Symbol" w:hint="default"/>
      </w:rPr>
    </w:lvl>
    <w:lvl w:ilvl="4" w:tplc="4BA6B088">
      <w:start w:val="1"/>
      <w:numFmt w:val="bullet"/>
      <w:lvlText w:val="o"/>
      <w:lvlJc w:val="left"/>
      <w:pPr>
        <w:ind w:left="3600" w:hanging="360"/>
      </w:pPr>
      <w:rPr>
        <w:rFonts w:ascii="Courier New" w:hAnsi="Courier New" w:hint="default"/>
      </w:rPr>
    </w:lvl>
    <w:lvl w:ilvl="5" w:tplc="05168ED0">
      <w:start w:val="1"/>
      <w:numFmt w:val="bullet"/>
      <w:lvlText w:val=""/>
      <w:lvlJc w:val="left"/>
      <w:pPr>
        <w:ind w:left="4320" w:hanging="360"/>
      </w:pPr>
      <w:rPr>
        <w:rFonts w:ascii="Wingdings" w:hAnsi="Wingdings" w:hint="default"/>
      </w:rPr>
    </w:lvl>
    <w:lvl w:ilvl="6" w:tplc="573AB83E">
      <w:start w:val="1"/>
      <w:numFmt w:val="bullet"/>
      <w:lvlText w:val=""/>
      <w:lvlJc w:val="left"/>
      <w:pPr>
        <w:ind w:left="5040" w:hanging="360"/>
      </w:pPr>
      <w:rPr>
        <w:rFonts w:ascii="Symbol" w:hAnsi="Symbol" w:hint="default"/>
      </w:rPr>
    </w:lvl>
    <w:lvl w:ilvl="7" w:tplc="CAAA8972">
      <w:start w:val="1"/>
      <w:numFmt w:val="bullet"/>
      <w:lvlText w:val="o"/>
      <w:lvlJc w:val="left"/>
      <w:pPr>
        <w:ind w:left="5760" w:hanging="360"/>
      </w:pPr>
      <w:rPr>
        <w:rFonts w:ascii="Courier New" w:hAnsi="Courier New" w:hint="default"/>
      </w:rPr>
    </w:lvl>
    <w:lvl w:ilvl="8" w:tplc="4F587A0C">
      <w:start w:val="1"/>
      <w:numFmt w:val="bullet"/>
      <w:lvlText w:val=""/>
      <w:lvlJc w:val="left"/>
      <w:pPr>
        <w:ind w:left="6480" w:hanging="360"/>
      </w:pPr>
      <w:rPr>
        <w:rFonts w:ascii="Wingdings" w:hAnsi="Wingdings" w:hint="default"/>
      </w:rPr>
    </w:lvl>
  </w:abstractNum>
  <w:abstractNum w:abstractNumId="3" w15:restartNumberingAfterBreak="0">
    <w:nsid w:val="62AB0039"/>
    <w:multiLevelType w:val="hybridMultilevel"/>
    <w:tmpl w:val="830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60AD5"/>
    <w:multiLevelType w:val="hybridMultilevel"/>
    <w:tmpl w:val="619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3327A"/>
    <w:multiLevelType w:val="hybridMultilevel"/>
    <w:tmpl w:val="682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F7"/>
    <w:rsid w:val="00022204"/>
    <w:rsid w:val="00046214"/>
    <w:rsid w:val="0005144D"/>
    <w:rsid w:val="00276DB0"/>
    <w:rsid w:val="00380EC8"/>
    <w:rsid w:val="00492EDC"/>
    <w:rsid w:val="00542EF7"/>
    <w:rsid w:val="005B2898"/>
    <w:rsid w:val="005F09FB"/>
    <w:rsid w:val="00680B2C"/>
    <w:rsid w:val="00736754"/>
    <w:rsid w:val="00770D8F"/>
    <w:rsid w:val="007D663F"/>
    <w:rsid w:val="008E3542"/>
    <w:rsid w:val="00991032"/>
    <w:rsid w:val="00A00745"/>
    <w:rsid w:val="00A4286B"/>
    <w:rsid w:val="00AC6C90"/>
    <w:rsid w:val="00BD6E08"/>
    <w:rsid w:val="00C741EB"/>
    <w:rsid w:val="00D404B7"/>
    <w:rsid w:val="00D51C37"/>
    <w:rsid w:val="00E41C20"/>
    <w:rsid w:val="00E9444B"/>
    <w:rsid w:val="00EB3446"/>
    <w:rsid w:val="00F66869"/>
    <w:rsid w:val="2C08A378"/>
    <w:rsid w:val="3CC1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5BD0"/>
  <w15:chartTrackingRefBased/>
  <w15:docId w15:val="{E2F4FD52-9742-4C86-AD57-CC2C3067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E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2EF7"/>
    <w:pPr>
      <w:ind w:left="720"/>
      <w:contextualSpacing/>
    </w:pPr>
  </w:style>
  <w:style w:type="character" w:customStyle="1" w:styleId="Heading1Char">
    <w:name w:val="Heading 1 Char"/>
    <w:basedOn w:val="DefaultParagraphFont"/>
    <w:link w:val="Heading1"/>
    <w:uiPriority w:val="9"/>
    <w:rsid w:val="00542EF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42EF7"/>
    <w:rPr>
      <w:b/>
      <w:bCs/>
    </w:rPr>
  </w:style>
  <w:style w:type="character" w:styleId="Hyperlink">
    <w:name w:val="Hyperlink"/>
    <w:basedOn w:val="DefaultParagraphFont"/>
    <w:uiPriority w:val="99"/>
    <w:unhideWhenUsed/>
    <w:rsid w:val="00A4286B"/>
    <w:rPr>
      <w:color w:val="0563C1" w:themeColor="hyperlink"/>
      <w:u w:val="single"/>
    </w:rPr>
  </w:style>
  <w:style w:type="character" w:styleId="UnresolvedMention">
    <w:name w:val="Unresolved Mention"/>
    <w:basedOn w:val="DefaultParagraphFont"/>
    <w:uiPriority w:val="99"/>
    <w:semiHidden/>
    <w:unhideWhenUsed/>
    <w:rsid w:val="00A4286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046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898">
      <w:bodyDiv w:val="1"/>
      <w:marLeft w:val="0"/>
      <w:marRight w:val="0"/>
      <w:marTop w:val="0"/>
      <w:marBottom w:val="0"/>
      <w:divBdr>
        <w:top w:val="none" w:sz="0" w:space="0" w:color="auto"/>
        <w:left w:val="none" w:sz="0" w:space="0" w:color="auto"/>
        <w:bottom w:val="none" w:sz="0" w:space="0" w:color="auto"/>
        <w:right w:val="none" w:sz="0" w:space="0" w:color="auto"/>
      </w:divBdr>
    </w:div>
    <w:div w:id="711347442">
      <w:bodyDiv w:val="1"/>
      <w:marLeft w:val="0"/>
      <w:marRight w:val="0"/>
      <w:marTop w:val="0"/>
      <w:marBottom w:val="0"/>
      <w:divBdr>
        <w:top w:val="none" w:sz="0" w:space="0" w:color="auto"/>
        <w:left w:val="none" w:sz="0" w:space="0" w:color="auto"/>
        <w:bottom w:val="none" w:sz="0" w:space="0" w:color="auto"/>
        <w:right w:val="none" w:sz="0" w:space="0" w:color="auto"/>
      </w:divBdr>
    </w:div>
    <w:div w:id="20554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system.edu/ums/rules/collected_rules/faculty/ch300/300.010_faculty_bylaws_u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council.missouri.edu/" TargetMode="External"/><Relationship Id="rId5" Type="http://schemas.openxmlformats.org/officeDocument/2006/relationships/hyperlink" Target="https://www.umsystem.edu/ums/rules/collected_rules/faculty/ch310/310.035_non-tenure_track_facul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4582</Characters>
  <Application>Microsoft Office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Wellemeyer, Dani</dc:creator>
  <cp:keywords/>
  <dc:description/>
  <cp:lastModifiedBy>Grieco, Viviana</cp:lastModifiedBy>
  <cp:revision>2</cp:revision>
  <dcterms:created xsi:type="dcterms:W3CDTF">2022-04-05T18:03:00Z</dcterms:created>
  <dcterms:modified xsi:type="dcterms:W3CDTF">2022-04-05T18:03:00Z</dcterms:modified>
</cp:coreProperties>
</file>