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D9463" w14:textId="427BBFB1" w:rsidR="00114410" w:rsidRDefault="00B86BF3" w:rsidP="00114410">
      <w:pPr>
        <w:pStyle w:val="Heading1"/>
        <w:jc w:val="center"/>
      </w:pPr>
      <w:bookmarkStart w:id="0" w:name="_GoBack"/>
      <w:bookmarkEnd w:id="0"/>
      <w:r>
        <w:tab/>
      </w:r>
      <w:r w:rsidR="00C616D6">
        <w:t xml:space="preserve">UMKC </w:t>
      </w:r>
      <w:r w:rsidR="00965580">
        <w:t xml:space="preserve">Task Force on the Recruitment and Retention of </w:t>
      </w:r>
    </w:p>
    <w:p w14:paraId="34224B1E" w14:textId="12DC1C85" w:rsidR="0098574B" w:rsidRDefault="006317C2" w:rsidP="00114410">
      <w:pPr>
        <w:pStyle w:val="Heading1"/>
        <w:jc w:val="center"/>
      </w:pPr>
      <w:r>
        <w:t xml:space="preserve">Diverse </w:t>
      </w:r>
      <w:r w:rsidR="00965580">
        <w:t>Faculty and Staff</w:t>
      </w:r>
      <w:r w:rsidR="00114410">
        <w:t xml:space="preserve"> </w:t>
      </w:r>
    </w:p>
    <w:p w14:paraId="243DCDE0" w14:textId="77777777" w:rsidR="009755B5" w:rsidRPr="009755B5" w:rsidRDefault="009755B5" w:rsidP="009755B5"/>
    <w:p w14:paraId="188239DD" w14:textId="77777777" w:rsidR="00EE5167" w:rsidRDefault="009755B5" w:rsidP="00EE5167">
      <w:r>
        <w:t xml:space="preserve">Task Force Membership: Susan Wilson (co-chair), Jenny Lundgren (co-chair), Diane Filion, Sandy Rodriguez, Roland Hemmings, </w:t>
      </w:r>
      <w:r w:rsidRPr="009755B5">
        <w:t>Susan Hankins</w:t>
      </w:r>
      <w:r>
        <w:t xml:space="preserve">, </w:t>
      </w:r>
      <w:r w:rsidRPr="009755B5">
        <w:t>Kelly Limpic</w:t>
      </w:r>
      <w:r>
        <w:t>, and Jamila Jefferson Jones</w:t>
      </w:r>
    </w:p>
    <w:p w14:paraId="639F4716" w14:textId="345E1617" w:rsidR="009755B5" w:rsidRPr="00EE5167" w:rsidRDefault="009755B5" w:rsidP="00EE5167">
      <w:r w:rsidRPr="009755B5">
        <w:rPr>
          <w:b/>
        </w:rPr>
        <w:t>Background</w:t>
      </w:r>
    </w:p>
    <w:p w14:paraId="653E695A" w14:textId="1505FF2C" w:rsidR="000A2E3A" w:rsidRPr="00CA10DE" w:rsidRDefault="00C616D6" w:rsidP="00965580">
      <w:r>
        <w:t xml:space="preserve">The recruitment and retention of </w:t>
      </w:r>
      <w:r w:rsidR="006317C2">
        <w:t xml:space="preserve">diverse </w:t>
      </w:r>
      <w:r>
        <w:t>faculty and staff</w:t>
      </w:r>
      <w:r w:rsidRPr="00C616D6">
        <w:t xml:space="preserve"> is critical to the advancement of our </w:t>
      </w:r>
      <w:r>
        <w:t xml:space="preserve">University </w:t>
      </w:r>
      <w:r w:rsidRPr="00C616D6">
        <w:t>mission and the realization of our vision</w:t>
      </w:r>
      <w:r w:rsidR="009755B5" w:rsidRPr="009755B5">
        <w:t xml:space="preserve"> to be an exemplary public urban research university of the 21st Century, pursuing excellence as a human-centric learning and discovery community, fostering equity, diversity and inclusion to enrich the lives of the people and regions we serve</w:t>
      </w:r>
      <w:r>
        <w:t xml:space="preserve">. </w:t>
      </w:r>
      <w:r w:rsidR="009755B5">
        <w:t xml:space="preserve"> </w:t>
      </w:r>
      <w:r w:rsidR="006317C2">
        <w:t>Our campus climate and culture form the foundation of our recruitment and retention efforts, and each</w:t>
      </w:r>
      <w:r w:rsidR="00965580">
        <w:t xml:space="preserve"> of us have a responsibility to create a campus culture that attracts and </w:t>
      </w:r>
      <w:r w:rsidR="00114410">
        <w:t>supports</w:t>
      </w:r>
      <w:r w:rsidR="00965580">
        <w:t xml:space="preserve"> the retention of </w:t>
      </w:r>
      <w:r w:rsidR="006317C2">
        <w:t xml:space="preserve">diverse </w:t>
      </w:r>
      <w:r w:rsidR="00CA10DE">
        <w:t>faculty and staff</w:t>
      </w:r>
      <w:r w:rsidR="00965580">
        <w:t xml:space="preserve">.  </w:t>
      </w:r>
      <w:r w:rsidR="00114410">
        <w:t xml:space="preserve"> </w:t>
      </w:r>
      <w:r w:rsidR="00965580">
        <w:t xml:space="preserve"> </w:t>
      </w:r>
      <w:r w:rsidR="00114410">
        <w:t xml:space="preserve">Built upon that foundation, </w:t>
      </w:r>
      <w:r w:rsidR="00965580">
        <w:t xml:space="preserve">systematic policy and </w:t>
      </w:r>
      <w:r>
        <w:t xml:space="preserve">standardized </w:t>
      </w:r>
      <w:r w:rsidR="00965580">
        <w:t xml:space="preserve">practice are </w:t>
      </w:r>
      <w:r w:rsidR="00A16B4B">
        <w:t xml:space="preserve">also </w:t>
      </w:r>
      <w:r w:rsidR="00965580">
        <w:t xml:space="preserve">necessary to </w:t>
      </w:r>
      <w:r w:rsidR="00114410">
        <w:t>reach</w:t>
      </w:r>
      <w:r w:rsidR="00965580">
        <w:t xml:space="preserve"> </w:t>
      </w:r>
      <w:r w:rsidR="00A16B4B">
        <w:t xml:space="preserve">our </w:t>
      </w:r>
      <w:r w:rsidR="00114410">
        <w:t>strategic recruitment</w:t>
      </w:r>
      <w:r w:rsidR="00A16B4B">
        <w:t xml:space="preserve"> and retention </w:t>
      </w:r>
      <w:r w:rsidR="00114410">
        <w:t>efforts</w:t>
      </w:r>
      <w:r>
        <w:t xml:space="preserve">.  As part of </w:t>
      </w:r>
      <w:hyperlink r:id="rId5" w:history="1">
        <w:proofErr w:type="spellStart"/>
        <w:r w:rsidRPr="00F82A8B">
          <w:rPr>
            <w:rStyle w:val="Hyperlink"/>
          </w:rPr>
          <w:t>Roos</w:t>
        </w:r>
        <w:proofErr w:type="spellEnd"/>
        <w:r w:rsidRPr="00F82A8B">
          <w:rPr>
            <w:rStyle w:val="Hyperlink"/>
          </w:rPr>
          <w:t xml:space="preserve"> Advocate for Community Change</w:t>
        </w:r>
      </w:hyperlink>
      <w:r>
        <w:t>, a task force was developed to evaluate our recruitment and retention strategies</w:t>
      </w:r>
      <w:r w:rsidR="00662B10">
        <w:t xml:space="preserve"> and to recommend actions steps for improvement. Although the task force grew out of an effort to improve experiences for faculty and staff of color,</w:t>
      </w:r>
      <w:r w:rsidR="00053827">
        <w:t xml:space="preserve"> </w:t>
      </w:r>
      <w:r w:rsidR="00662B10">
        <w:t>its recommendations are applicable to the recruitment and retention of all under-represented groups of individuals (e.g., race/ethnicity, gender/sex, disability status, and veteran status),</w:t>
      </w:r>
      <w:r>
        <w:t xml:space="preserve"> </w:t>
      </w:r>
      <w:r w:rsidR="00053827">
        <w:t>as</w:t>
      </w:r>
      <w:r>
        <w:t xml:space="preserve"> described below.  </w:t>
      </w:r>
    </w:p>
    <w:p w14:paraId="2EA3EA84" w14:textId="77777777" w:rsidR="00A16B4B" w:rsidRPr="00C616D6" w:rsidRDefault="004F304B" w:rsidP="00C616D6">
      <w:pPr>
        <w:pStyle w:val="Heading2"/>
        <w:rPr>
          <w:b/>
        </w:rPr>
      </w:pPr>
      <w:r w:rsidRPr="00C616D6">
        <w:rPr>
          <w:b/>
        </w:rPr>
        <w:t>Recruitment</w:t>
      </w:r>
    </w:p>
    <w:p w14:paraId="61688884" w14:textId="5F08DCE4" w:rsidR="00EC27AC" w:rsidRPr="004749EC" w:rsidRDefault="00C616D6" w:rsidP="00DF2665">
      <w:pPr>
        <w:rPr>
          <w:b/>
        </w:rPr>
      </w:pPr>
      <w:r w:rsidRPr="004749EC">
        <w:rPr>
          <w:rStyle w:val="Heading3Char"/>
          <w:b/>
        </w:rPr>
        <w:t>Search Committees</w:t>
      </w:r>
      <w:r w:rsidR="00B405DB" w:rsidRPr="004749EC">
        <w:rPr>
          <w:b/>
        </w:rPr>
        <w:t xml:space="preserve"> </w:t>
      </w:r>
    </w:p>
    <w:p w14:paraId="024A237F" w14:textId="31184FC0" w:rsidR="00EC27AC" w:rsidRPr="004749EC" w:rsidRDefault="00EE5167" w:rsidP="004749EC">
      <w:pPr>
        <w:rPr>
          <w:rFonts w:ascii="Calibri" w:eastAsia="Times New Roman" w:hAnsi="Calibri" w:cs="Calibri"/>
          <w:color w:val="000000"/>
        </w:rPr>
      </w:pPr>
      <w:r>
        <w:t>S</w:t>
      </w:r>
      <w:r w:rsidR="00B405DB">
        <w:t>earch committees</w:t>
      </w:r>
      <w:r>
        <w:t xml:space="preserve"> should</w:t>
      </w:r>
      <w:r w:rsidR="00B405DB">
        <w:t xml:space="preserve"> be evaluated for diversity and representation</w:t>
      </w:r>
      <w:r w:rsidR="004D427F">
        <w:t xml:space="preserve"> of under-represented groups of individuals</w:t>
      </w:r>
      <w:r w:rsidR="00EC27AC">
        <w:t xml:space="preserve"> </w:t>
      </w:r>
      <w:r w:rsidR="00054AEB">
        <w:t>prior to launching a search</w:t>
      </w:r>
      <w:r w:rsidR="00B405DB">
        <w:t xml:space="preserve">.  </w:t>
      </w:r>
      <w:r>
        <w:t>We recommend that search committees be reviewed for diverse representation and approved by the office of Diversity and Inclusion</w:t>
      </w:r>
      <w:r w:rsidR="00CA10DE">
        <w:t xml:space="preserve"> </w:t>
      </w:r>
      <w:r>
        <w:t xml:space="preserve">prior to launching a search.  </w:t>
      </w:r>
      <w:r w:rsidRPr="00EE5167">
        <w:t xml:space="preserve">The Office of Diversity and Inclusion, as well as Faculty Affairs, can be resources for best practices in designing search committees to maximize representation for staff and faculty hiring. </w:t>
      </w:r>
      <w:r>
        <w:t xml:space="preserve">When necessary, </w:t>
      </w:r>
      <w:r w:rsidR="009A698F">
        <w:t>units should seek</w:t>
      </w:r>
      <w:r w:rsidR="00EC27AC">
        <w:t xml:space="preserve"> participation from individuals external to the unit who can bring </w:t>
      </w:r>
      <w:r w:rsidR="009A698F">
        <w:t>diversity</w:t>
      </w:r>
      <w:r w:rsidR="00EC27AC">
        <w:t xml:space="preserve"> to the search process</w:t>
      </w:r>
      <w:r w:rsidR="00CA10DE">
        <w:t xml:space="preserve"> (e.g., </w:t>
      </w:r>
      <w:r w:rsidR="009A698F">
        <w:t xml:space="preserve">individuals from similar disciplines, </w:t>
      </w:r>
      <w:r w:rsidR="00CA10DE">
        <w:t>community representatives from the Chancellor’s Diversity Councils).</w:t>
      </w:r>
      <w:r w:rsidR="00EC27AC">
        <w:t xml:space="preserve">  </w:t>
      </w:r>
      <w:r w:rsidR="00054AEB" w:rsidRPr="00054AEB">
        <w:t>Although search committee service is typically voluntary</w:t>
      </w:r>
      <w:r w:rsidR="009A698F">
        <w:t xml:space="preserve"> or part of one’s service load</w:t>
      </w:r>
      <w:r w:rsidR="00054AEB" w:rsidRPr="00054AEB">
        <w:t>, when appropriate, an honorarium for time and expenses should be provided</w:t>
      </w:r>
      <w:r w:rsidR="009A698F">
        <w:t xml:space="preserve"> to external search committee members</w:t>
      </w:r>
      <w:r w:rsidR="00054AEB" w:rsidRPr="00054AEB">
        <w:t>.</w:t>
      </w:r>
      <w:r w:rsidR="009A698F">
        <w:t xml:space="preserve">  </w:t>
      </w:r>
      <w:r w:rsidR="004C7516">
        <w:t>Faculty</w:t>
      </w:r>
      <w:r w:rsidR="009A698F">
        <w:t xml:space="preserve"> providing search committee</w:t>
      </w:r>
      <w:r w:rsidR="004C7516">
        <w:t xml:space="preserve"> service to departments outside their own unit should receive appropriate service credit in the annual evaluation process.</w:t>
      </w:r>
    </w:p>
    <w:p w14:paraId="6CE783CB" w14:textId="42789EB0" w:rsidR="00DF2665" w:rsidRPr="004E1821" w:rsidRDefault="00EC27AC" w:rsidP="00C616D6">
      <w:pPr>
        <w:pStyle w:val="Heading3"/>
        <w:rPr>
          <w:b/>
        </w:rPr>
      </w:pPr>
      <w:r w:rsidRPr="004E1821">
        <w:rPr>
          <w:b/>
        </w:rPr>
        <w:t>Communicating the Position</w:t>
      </w:r>
    </w:p>
    <w:p w14:paraId="05979B1F" w14:textId="77777777" w:rsidR="004E1821" w:rsidRDefault="00EC27AC" w:rsidP="004E1821">
      <w:pPr>
        <w:pStyle w:val="Heading3"/>
      </w:pPr>
      <w:r w:rsidRPr="00C616D6">
        <w:t>Position Descriptions</w:t>
      </w:r>
      <w:r w:rsidR="00C616D6">
        <w:t xml:space="preserve"> </w:t>
      </w:r>
    </w:p>
    <w:p w14:paraId="50FDFCC2" w14:textId="1177EE7C" w:rsidR="00EC27AC" w:rsidRDefault="004E1821" w:rsidP="00DF2665">
      <w:r>
        <w:t xml:space="preserve">Position descriptions </w:t>
      </w:r>
      <w:r w:rsidR="00C616D6">
        <w:t xml:space="preserve">should be written to attract </w:t>
      </w:r>
      <w:r w:rsidR="00054AEB">
        <w:t>diverse faculty and staff</w:t>
      </w:r>
      <w:r>
        <w:t>, including</w:t>
      </w:r>
      <w:r w:rsidR="00054AEB">
        <w:t xml:space="preserve"> reference to</w:t>
      </w:r>
      <w:r>
        <w:t xml:space="preserve"> opportunities for mentorship and support, opportunities for research with certain populations, diversity of the curriculum, and community resources</w:t>
      </w:r>
      <w:r w:rsidR="00C616D6">
        <w:t xml:space="preserve">.  </w:t>
      </w:r>
      <w:r w:rsidR="00EA28AA">
        <w:t xml:space="preserve">Position descriptions and all recruitment materials should </w:t>
      </w:r>
      <w:r w:rsidR="00EA28AA">
        <w:lastRenderedPageBreak/>
        <w:t xml:space="preserve">be reviewed for </w:t>
      </w:r>
      <w:r w:rsidR="00054AEB">
        <w:t>majority-centric</w:t>
      </w:r>
      <w:r w:rsidR="00EA28AA">
        <w:t xml:space="preserve"> language. </w:t>
      </w:r>
      <w:r w:rsidR="00054AEB">
        <w:t>For faculty hires, t</w:t>
      </w:r>
      <w:r w:rsidR="00C616D6">
        <w:t xml:space="preserve">he </w:t>
      </w:r>
      <w:hyperlink r:id="rId6" w:history="1">
        <w:r w:rsidR="00C616D6" w:rsidRPr="004E1821">
          <w:rPr>
            <w:rStyle w:val="Hyperlink"/>
          </w:rPr>
          <w:t>American Psychological Association</w:t>
        </w:r>
      </w:hyperlink>
      <w:r w:rsidR="00C616D6">
        <w:t xml:space="preserve"> has </w:t>
      </w:r>
      <w:r>
        <w:t>detailed suggestions and example position descriptions that can be tailored to other disciplines.</w:t>
      </w:r>
      <w:r w:rsidR="00EA28AA">
        <w:t xml:space="preserve"> </w:t>
      </w:r>
    </w:p>
    <w:p w14:paraId="5354ED49" w14:textId="4E6EF8BC" w:rsidR="00F260E1" w:rsidRDefault="00F260E1" w:rsidP="00F260E1">
      <w:pPr>
        <w:pStyle w:val="Heading3"/>
      </w:pPr>
      <w:r>
        <w:t>Supplemental Position Materials</w:t>
      </w:r>
    </w:p>
    <w:p w14:paraId="12492B7A" w14:textId="2B6394B8" w:rsidR="00F260E1" w:rsidRPr="00F260E1" w:rsidRDefault="00F260E1" w:rsidP="00F260E1">
      <w:r>
        <w:t>Supplemental materials (e.g., brochures</w:t>
      </w:r>
      <w:r w:rsidR="006D0203">
        <w:t xml:space="preserve"> created by HR or Academic Units</w:t>
      </w:r>
      <w:r>
        <w:t xml:space="preserve">) should be reviewed for </w:t>
      </w:r>
      <w:r w:rsidR="00054AEB">
        <w:t>majority</w:t>
      </w:r>
      <w:r>
        <w:t>-centric language and examples.  KC area resources</w:t>
      </w:r>
      <w:r w:rsidR="004C7516">
        <w:t xml:space="preserve"> included in supplemental materials should reflect the diversity of our community. </w:t>
      </w:r>
      <w:r w:rsidR="00EA02D6">
        <w:t xml:space="preserve">The </w:t>
      </w:r>
      <w:r w:rsidR="004C7516">
        <w:t xml:space="preserve">Office of Diversity and Inclusion, as well as the </w:t>
      </w:r>
      <w:r w:rsidR="00EA02D6">
        <w:t>Chancellor’s Diversity Councils</w:t>
      </w:r>
      <w:r w:rsidR="004C7516">
        <w:t>,</w:t>
      </w:r>
      <w:r w:rsidR="00EA02D6">
        <w:t xml:space="preserve"> can serve as a resource for information and review.  </w:t>
      </w:r>
      <w:r w:rsidR="008B4963">
        <w:t xml:space="preserve">Supplemental materials should also direct candidates to data demonstrating our commitment to diversity and inclusion (e.g., dashboard data, </w:t>
      </w:r>
      <w:r w:rsidR="00CB19DF">
        <w:t xml:space="preserve">unit </w:t>
      </w:r>
      <w:r w:rsidR="008B4963">
        <w:t xml:space="preserve">Inclusive Excellence plans, the </w:t>
      </w:r>
      <w:hyperlink r:id="rId7" w:history="1">
        <w:r w:rsidR="008B4963" w:rsidRPr="008B4963">
          <w:rPr>
            <w:rStyle w:val="Hyperlink"/>
          </w:rPr>
          <w:t>UMKC Strategic plan</w:t>
        </w:r>
      </w:hyperlink>
      <w:r w:rsidR="008B4963">
        <w:t xml:space="preserve">, and the </w:t>
      </w:r>
      <w:hyperlink r:id="rId8" w:history="1">
        <w:proofErr w:type="spellStart"/>
        <w:r w:rsidR="008B4963" w:rsidRPr="008B4963">
          <w:rPr>
            <w:rStyle w:val="Hyperlink"/>
          </w:rPr>
          <w:t>Roos</w:t>
        </w:r>
        <w:proofErr w:type="spellEnd"/>
        <w:r w:rsidR="008B4963" w:rsidRPr="008B4963">
          <w:rPr>
            <w:rStyle w:val="Hyperlink"/>
          </w:rPr>
          <w:t xml:space="preserve"> Advocate for Community change web</w:t>
        </w:r>
        <w:r w:rsidR="008B4963">
          <w:rPr>
            <w:rStyle w:val="Hyperlink"/>
          </w:rPr>
          <w:t>s</w:t>
        </w:r>
        <w:r w:rsidR="008B4963" w:rsidRPr="008B4963">
          <w:rPr>
            <w:rStyle w:val="Hyperlink"/>
          </w:rPr>
          <w:t>ite</w:t>
        </w:r>
      </w:hyperlink>
      <w:r w:rsidR="008B4963">
        <w:t>.</w:t>
      </w:r>
    </w:p>
    <w:p w14:paraId="6C9BCB8C" w14:textId="3D573D8C" w:rsidR="00C616D6" w:rsidRPr="00C616D6" w:rsidRDefault="00EC27AC" w:rsidP="004E1821">
      <w:pPr>
        <w:pStyle w:val="Heading3"/>
      </w:pPr>
      <w:r w:rsidRPr="00C616D6">
        <w:t>Sourcing</w:t>
      </w:r>
      <w:r w:rsidR="00DF2665" w:rsidRPr="00C616D6">
        <w:t xml:space="preserve"> </w:t>
      </w:r>
    </w:p>
    <w:p w14:paraId="3BCD252C" w14:textId="284F3158" w:rsidR="00542073" w:rsidRPr="0055171D" w:rsidRDefault="00F342C6" w:rsidP="0055171D">
      <w:pPr>
        <w:rPr>
          <w:rFonts w:ascii="Calibri" w:eastAsia="Times New Roman" w:hAnsi="Calibri" w:cs="Calibri"/>
          <w:color w:val="000000"/>
        </w:rPr>
      </w:pPr>
      <w:r w:rsidRPr="00F342C6">
        <w:rPr>
          <w:rFonts w:ascii="Calibri" w:eastAsia="Times New Roman" w:hAnsi="Calibri" w:cs="Calibri"/>
          <w:color w:val="000000"/>
        </w:rPr>
        <w:t xml:space="preserve">It is the expectation that units familiarize themselves with </w:t>
      </w:r>
      <w:r w:rsidR="00054AEB">
        <w:rPr>
          <w:rFonts w:ascii="Calibri" w:eastAsia="Times New Roman" w:hAnsi="Calibri" w:cs="Calibri"/>
          <w:color w:val="000000"/>
        </w:rPr>
        <w:t xml:space="preserve">best practices and </w:t>
      </w:r>
      <w:r w:rsidRPr="00F342C6">
        <w:rPr>
          <w:rFonts w:ascii="Calibri" w:eastAsia="Times New Roman" w:hAnsi="Calibri" w:cs="Calibri"/>
          <w:color w:val="000000"/>
        </w:rPr>
        <w:t xml:space="preserve">alternative sourcing strategies for </w:t>
      </w:r>
      <w:r w:rsidR="00054AEB">
        <w:rPr>
          <w:rFonts w:ascii="Calibri" w:eastAsia="Times New Roman" w:hAnsi="Calibri" w:cs="Calibri"/>
          <w:color w:val="000000"/>
        </w:rPr>
        <w:t xml:space="preserve">diverse </w:t>
      </w:r>
      <w:r w:rsidR="00CB19DF">
        <w:rPr>
          <w:rFonts w:ascii="Calibri" w:eastAsia="Times New Roman" w:hAnsi="Calibri" w:cs="Calibri"/>
          <w:color w:val="000000"/>
        </w:rPr>
        <w:t xml:space="preserve">candidates </w:t>
      </w:r>
      <w:r w:rsidR="00AA3CBF">
        <w:rPr>
          <w:rFonts w:ascii="Calibri" w:eastAsia="Times New Roman" w:hAnsi="Calibri" w:cs="Calibri"/>
          <w:color w:val="000000"/>
        </w:rPr>
        <w:t>prior to launching a search</w:t>
      </w:r>
      <w:r>
        <w:rPr>
          <w:rFonts w:ascii="Calibri" w:eastAsia="Times New Roman" w:hAnsi="Calibri" w:cs="Calibri"/>
          <w:color w:val="000000"/>
        </w:rPr>
        <w:t xml:space="preserve">. </w:t>
      </w:r>
      <w:r w:rsidR="00637461">
        <w:rPr>
          <w:rFonts w:ascii="Calibri" w:eastAsia="Times New Roman" w:hAnsi="Calibri" w:cs="Calibri"/>
          <w:color w:val="000000"/>
        </w:rPr>
        <w:t>Sourcing for faculty and staff should be comprehensive</w:t>
      </w:r>
      <w:r w:rsidR="00CB19DF">
        <w:rPr>
          <w:rFonts w:ascii="Calibri" w:eastAsia="Times New Roman" w:hAnsi="Calibri" w:cs="Calibri"/>
          <w:color w:val="000000"/>
        </w:rPr>
        <w:t>,</w:t>
      </w:r>
      <w:r w:rsidR="00637461">
        <w:rPr>
          <w:rFonts w:ascii="Calibri" w:eastAsia="Times New Roman" w:hAnsi="Calibri" w:cs="Calibri"/>
          <w:color w:val="000000"/>
        </w:rPr>
        <w:t xml:space="preserve"> </w:t>
      </w:r>
      <w:r w:rsidR="00EA28AA">
        <w:rPr>
          <w:rFonts w:ascii="Calibri" w:eastAsia="Times New Roman" w:hAnsi="Calibri" w:cs="Calibri"/>
          <w:color w:val="000000"/>
        </w:rPr>
        <w:t>and verification of a robust sourcing plan should be documented prior to approval of the request to recruit</w:t>
      </w:r>
      <w:r w:rsidR="00637461">
        <w:rPr>
          <w:rFonts w:ascii="Calibri" w:eastAsia="Times New Roman" w:hAnsi="Calibri" w:cs="Calibri"/>
          <w:color w:val="000000"/>
        </w:rPr>
        <w:t xml:space="preserve">.  </w:t>
      </w:r>
      <w:r w:rsidR="00EA28AA">
        <w:rPr>
          <w:rFonts w:ascii="Calibri" w:eastAsia="Times New Roman" w:hAnsi="Calibri" w:cs="Calibri"/>
          <w:color w:val="000000"/>
        </w:rPr>
        <w:t xml:space="preserve">As part of comprehensive sourcing, </w:t>
      </w:r>
      <w:r w:rsidR="00AA3CBF">
        <w:rPr>
          <w:rFonts w:ascii="Calibri" w:eastAsia="Times New Roman" w:hAnsi="Calibri" w:cs="Calibri"/>
          <w:color w:val="000000"/>
        </w:rPr>
        <w:t>search committees and unit leaders should familiarize themselves with the OAA</w:t>
      </w:r>
      <w:r w:rsidR="00FD3220">
        <w:rPr>
          <w:rFonts w:ascii="Calibri" w:eastAsia="Times New Roman" w:hAnsi="Calibri" w:cs="Calibri"/>
          <w:color w:val="000000"/>
        </w:rPr>
        <w:t xml:space="preserve"> </w:t>
      </w:r>
      <w:r w:rsidR="004E1821">
        <w:rPr>
          <w:rFonts w:ascii="Calibri" w:eastAsia="Times New Roman" w:hAnsi="Calibri" w:cs="Calibri"/>
          <w:color w:val="000000"/>
        </w:rPr>
        <w:t>resource list that includes</w:t>
      </w:r>
      <w:r w:rsidR="00DF2665" w:rsidRPr="00DF2665">
        <w:rPr>
          <w:rFonts w:ascii="Calibri" w:eastAsia="Times New Roman" w:hAnsi="Calibri" w:cs="Calibri"/>
          <w:color w:val="000000"/>
        </w:rPr>
        <w:t xml:space="preserve"> </w:t>
      </w:r>
      <w:r w:rsidR="00EA02D6">
        <w:rPr>
          <w:rFonts w:ascii="Calibri" w:eastAsia="Times New Roman" w:hAnsi="Calibri" w:cs="Calibri"/>
          <w:color w:val="000000"/>
        </w:rPr>
        <w:t>Black, Latinx</w:t>
      </w:r>
      <w:r w:rsidR="00EA28AA">
        <w:rPr>
          <w:rFonts w:ascii="Calibri" w:eastAsia="Times New Roman" w:hAnsi="Calibri" w:cs="Calibri"/>
          <w:color w:val="000000"/>
        </w:rPr>
        <w:t xml:space="preserve">, and tribal </w:t>
      </w:r>
      <w:r w:rsidR="00DF2665" w:rsidRPr="00DF2665">
        <w:rPr>
          <w:rFonts w:ascii="Calibri" w:eastAsia="Times New Roman" w:hAnsi="Calibri" w:cs="Calibri"/>
          <w:color w:val="000000"/>
        </w:rPr>
        <w:t xml:space="preserve">professional </w:t>
      </w:r>
      <w:r w:rsidR="00EA28AA">
        <w:rPr>
          <w:rFonts w:ascii="Calibri" w:eastAsia="Times New Roman" w:hAnsi="Calibri" w:cs="Calibri"/>
          <w:color w:val="000000"/>
        </w:rPr>
        <w:t>organizations and annual meeting information across disciplines</w:t>
      </w:r>
      <w:r w:rsidR="00DF2665" w:rsidRPr="00DF2665">
        <w:rPr>
          <w:rFonts w:ascii="Calibri" w:eastAsia="Times New Roman" w:hAnsi="Calibri" w:cs="Calibri"/>
          <w:color w:val="000000"/>
        </w:rPr>
        <w:t xml:space="preserve">, </w:t>
      </w:r>
      <w:r w:rsidR="00EA28AA">
        <w:rPr>
          <w:rFonts w:ascii="Calibri" w:eastAsia="Times New Roman" w:hAnsi="Calibri" w:cs="Calibri"/>
          <w:color w:val="000000"/>
        </w:rPr>
        <w:t xml:space="preserve">as well </w:t>
      </w:r>
      <w:r w:rsidR="00AA3CBF">
        <w:rPr>
          <w:rFonts w:ascii="Calibri" w:eastAsia="Times New Roman" w:hAnsi="Calibri" w:cs="Calibri"/>
          <w:color w:val="000000"/>
        </w:rPr>
        <w:t>as</w:t>
      </w:r>
      <w:r w:rsidR="00EA28AA">
        <w:rPr>
          <w:rFonts w:ascii="Calibri" w:eastAsia="Times New Roman" w:hAnsi="Calibri" w:cs="Calibri"/>
          <w:color w:val="000000"/>
        </w:rPr>
        <w:t xml:space="preserve"> a list of </w:t>
      </w:r>
      <w:r w:rsidR="00EA28AA" w:rsidRPr="00EA28AA">
        <w:rPr>
          <w:rFonts w:ascii="Calibri" w:eastAsia="Times New Roman" w:hAnsi="Calibri" w:cs="Calibri"/>
          <w:color w:val="000000"/>
        </w:rPr>
        <w:t>historically Black, predominantly Latin</w:t>
      </w:r>
      <w:r w:rsidR="00A738C0">
        <w:rPr>
          <w:rFonts w:ascii="Calibri" w:eastAsia="Times New Roman" w:hAnsi="Calibri" w:cs="Calibri"/>
          <w:color w:val="000000"/>
        </w:rPr>
        <w:t>x</w:t>
      </w:r>
      <w:r w:rsidR="00EA28AA" w:rsidRPr="00EA28AA">
        <w:rPr>
          <w:rFonts w:ascii="Calibri" w:eastAsia="Times New Roman" w:hAnsi="Calibri" w:cs="Calibri"/>
          <w:color w:val="000000"/>
        </w:rPr>
        <w:t>, and tribal colleges and universities</w:t>
      </w:r>
      <w:r w:rsidR="00EA28AA">
        <w:rPr>
          <w:rFonts w:ascii="Calibri" w:eastAsia="Times New Roman" w:hAnsi="Calibri" w:cs="Calibri"/>
          <w:color w:val="000000"/>
        </w:rPr>
        <w:t xml:space="preserve"> for outreach and solicitation of nominations.  The sourcing module in the hiring committee training should review best practices in sourcing </w:t>
      </w:r>
      <w:r w:rsidR="00AA3CBF">
        <w:rPr>
          <w:rFonts w:ascii="Calibri" w:eastAsia="Times New Roman" w:hAnsi="Calibri" w:cs="Calibri"/>
          <w:color w:val="000000"/>
        </w:rPr>
        <w:t>diverse candidates, including communication and outreach strategies</w:t>
      </w:r>
      <w:r w:rsidR="00EA28AA">
        <w:rPr>
          <w:rFonts w:ascii="Calibri" w:eastAsia="Times New Roman" w:hAnsi="Calibri" w:cs="Calibri"/>
          <w:color w:val="000000"/>
        </w:rPr>
        <w:t>.</w:t>
      </w:r>
      <w:r w:rsidR="00DF2665" w:rsidRPr="00DF2665">
        <w:rPr>
          <w:rFonts w:ascii="Calibri" w:eastAsia="Times New Roman" w:hAnsi="Calibri" w:cs="Calibri"/>
          <w:color w:val="000000"/>
        </w:rPr>
        <w:t xml:space="preserve"> </w:t>
      </w:r>
      <w:r w:rsidR="00F260E1">
        <w:rPr>
          <w:rFonts w:ascii="Calibri" w:eastAsia="Times New Roman" w:hAnsi="Calibri" w:cs="Calibri"/>
          <w:color w:val="000000"/>
        </w:rPr>
        <w:t>The University needs to continue investment in the annual S</w:t>
      </w:r>
      <w:r w:rsidR="00AA3CBF">
        <w:rPr>
          <w:rFonts w:ascii="Calibri" w:eastAsia="Times New Roman" w:hAnsi="Calibri" w:cs="Calibri"/>
          <w:color w:val="000000"/>
        </w:rPr>
        <w:t>outhern Regional Education Board’s</w:t>
      </w:r>
      <w:r w:rsidR="00F260E1">
        <w:rPr>
          <w:rFonts w:ascii="Calibri" w:eastAsia="Times New Roman" w:hAnsi="Calibri" w:cs="Calibri"/>
          <w:color w:val="000000"/>
        </w:rPr>
        <w:t xml:space="preserve"> Institute on Teaching and Mentoring recruitment fair with UM System</w:t>
      </w:r>
      <w:r w:rsidR="004749EC">
        <w:rPr>
          <w:rFonts w:ascii="Calibri" w:eastAsia="Times New Roman" w:hAnsi="Calibri" w:cs="Calibri"/>
          <w:color w:val="000000"/>
        </w:rPr>
        <w:t>.</w:t>
      </w:r>
    </w:p>
    <w:p w14:paraId="4817E080" w14:textId="232A41CD" w:rsidR="00EC27AC" w:rsidRPr="004749EC" w:rsidRDefault="00EC27AC" w:rsidP="00DF2665">
      <w:pPr>
        <w:pStyle w:val="Heading3"/>
        <w:rPr>
          <w:rFonts w:asciiTheme="minorHAnsi" w:eastAsiaTheme="minorHAnsi" w:hAnsiTheme="minorHAnsi" w:cstheme="minorBidi"/>
          <w:color w:val="auto"/>
          <w:sz w:val="22"/>
          <w:szCs w:val="22"/>
        </w:rPr>
      </w:pPr>
      <w:r w:rsidRPr="004749EC">
        <w:rPr>
          <w:b/>
        </w:rPr>
        <w:t>Application Materials</w:t>
      </w:r>
      <w:r w:rsidR="00542073" w:rsidRPr="004749EC">
        <w:rPr>
          <w:b/>
        </w:rPr>
        <w:t xml:space="preserve"> and Interviews</w:t>
      </w:r>
      <w:r w:rsidRPr="004749EC">
        <w:rPr>
          <w:rFonts w:asciiTheme="minorHAnsi" w:eastAsiaTheme="minorHAnsi" w:hAnsiTheme="minorHAnsi" w:cstheme="minorBidi"/>
          <w:color w:val="auto"/>
          <w:sz w:val="22"/>
          <w:szCs w:val="22"/>
        </w:rPr>
        <w:t xml:space="preserve"> </w:t>
      </w:r>
    </w:p>
    <w:p w14:paraId="6C2D96E8" w14:textId="3E3FEEBA" w:rsidR="00EA73CC" w:rsidRPr="00EA02D6" w:rsidRDefault="00FD3220" w:rsidP="00EC27AC">
      <w:pPr>
        <w:rPr>
          <w:rFonts w:ascii="Calibri" w:eastAsia="Times New Roman" w:hAnsi="Calibri" w:cs="Calibri"/>
          <w:color w:val="000000"/>
        </w:rPr>
      </w:pPr>
      <w:r>
        <w:t>We recommend that a</w:t>
      </w:r>
      <w:r w:rsidR="00F6233D">
        <w:t xml:space="preserve">ll applicants be required to submit a </w:t>
      </w:r>
      <w:r w:rsidR="00F6233D" w:rsidRPr="00FD3220">
        <w:rPr>
          <w:i/>
        </w:rPr>
        <w:t>behavioral</w:t>
      </w:r>
      <w:r w:rsidR="00F6233D">
        <w:t xml:space="preserve"> diversity statement that includes their </w:t>
      </w:r>
      <w:r>
        <w:t>specific</w:t>
      </w:r>
      <w:r w:rsidR="00F6233D">
        <w:t xml:space="preserve"> contributions to diversity, equity, and </w:t>
      </w:r>
      <w:r>
        <w:t>inclusion</w:t>
      </w:r>
      <w:r w:rsidR="0085137F">
        <w:t xml:space="preserve">, particularly for </w:t>
      </w:r>
      <w:r w:rsidR="00F362AA">
        <w:t xml:space="preserve">faculty </w:t>
      </w:r>
      <w:r w:rsidR="0085137F">
        <w:t>hires</w:t>
      </w:r>
      <w:r w:rsidR="00F6233D">
        <w:t xml:space="preserve">. </w:t>
      </w:r>
      <w:r w:rsidR="00DF2665">
        <w:t xml:space="preserve"> </w:t>
      </w:r>
      <w:r w:rsidR="0085137F">
        <w:t xml:space="preserve">Similar to candidate statements describing their experience and plans for </w:t>
      </w:r>
      <w:r w:rsidR="00F362AA">
        <w:t xml:space="preserve">effective </w:t>
      </w:r>
      <w:r w:rsidR="0085137F">
        <w:t xml:space="preserve">teaching </w:t>
      </w:r>
      <w:r w:rsidR="00F362AA">
        <w:t xml:space="preserve">practices </w:t>
      </w:r>
      <w:r w:rsidR="0085137F">
        <w:t xml:space="preserve">and </w:t>
      </w:r>
      <w:r w:rsidR="00F362AA">
        <w:t xml:space="preserve">for the development of independent lines of </w:t>
      </w:r>
      <w:r w:rsidR="0085137F">
        <w:t>research, behavioral diversity</w:t>
      </w:r>
      <w:r w:rsidR="00F6233D">
        <w:t xml:space="preserve"> statements </w:t>
      </w:r>
      <w:r w:rsidR="0085137F">
        <w:t xml:space="preserve">should be used to gauge candidate experience with and commitment to fostering diversity, equity, and inclusion in </w:t>
      </w:r>
      <w:r w:rsidR="00F362AA">
        <w:t xml:space="preserve">their support of students, their pedagogy, their research and scholarship, and their contribution to a positive University climate.  </w:t>
      </w:r>
      <w:r>
        <w:t xml:space="preserve">We recommend that the for faculty searches the Office of Diversity and Inclusion, in collaboration with Faculty Affairs, develop a standard prompt for the diversity statement so that all candidates are responding to the same assessment of their behavioral commitment to diversity.  </w:t>
      </w:r>
      <w:r w:rsidR="00EA73CC">
        <w:t>More information about</w:t>
      </w:r>
      <w:r w:rsidR="00F6233D">
        <w:t xml:space="preserve"> diversity statements can be found at </w:t>
      </w:r>
      <w:hyperlink r:id="rId9" w:history="1">
        <w:r w:rsidR="00F6233D" w:rsidRPr="00F6233D">
          <w:rPr>
            <w:rStyle w:val="Hyperlink"/>
          </w:rPr>
          <w:t>UC Davis</w:t>
        </w:r>
      </w:hyperlink>
      <w:r w:rsidR="00F6233D">
        <w:t xml:space="preserve">, </w:t>
      </w:r>
      <w:hyperlink r:id="rId10" w:history="1">
        <w:r w:rsidR="00EA73CC" w:rsidRPr="00EA73CC">
          <w:rPr>
            <w:rStyle w:val="Hyperlink"/>
          </w:rPr>
          <w:t>Inside Higher</w:t>
        </w:r>
        <w:r w:rsidR="00EA73CC">
          <w:rPr>
            <w:rStyle w:val="Hyperlink"/>
          </w:rPr>
          <w:t xml:space="preserve"> </w:t>
        </w:r>
        <w:r w:rsidR="00EA73CC" w:rsidRPr="00EA73CC">
          <w:rPr>
            <w:rStyle w:val="Hyperlink"/>
          </w:rPr>
          <w:t>Ed</w:t>
        </w:r>
      </w:hyperlink>
      <w:r w:rsidR="00EA73CC">
        <w:t xml:space="preserve">, </w:t>
      </w:r>
      <w:hyperlink r:id="rId11" w:history="1">
        <w:r w:rsidR="00EA73CC" w:rsidRPr="00EA73CC">
          <w:rPr>
            <w:rStyle w:val="Hyperlink"/>
          </w:rPr>
          <w:t>Vanderbilt University</w:t>
        </w:r>
      </w:hyperlink>
      <w:r w:rsidR="00EA73CC">
        <w:t xml:space="preserve">. </w:t>
      </w:r>
    </w:p>
    <w:p w14:paraId="12F198EF" w14:textId="1DB9E525" w:rsidR="00542073" w:rsidRDefault="00EA73CC" w:rsidP="00EC27AC">
      <w:r>
        <w:t>When conducting off-</w:t>
      </w:r>
      <w:r w:rsidR="00380320">
        <w:t xml:space="preserve">list </w:t>
      </w:r>
      <w:r>
        <w:t xml:space="preserve">reference calls, </w:t>
      </w:r>
      <w:r w:rsidR="0099509D">
        <w:t xml:space="preserve">we recommend that all </w:t>
      </w:r>
      <w:r>
        <w:t>candidates</w:t>
      </w:r>
      <w:r w:rsidR="0099509D">
        <w:t xml:space="preserve"> be provided</w:t>
      </w:r>
      <w:r>
        <w:t xml:space="preserve"> the opportunity to exclude names of anyone who might intentionally or inadvertently undermine their success</w:t>
      </w:r>
      <w:r w:rsidR="00336478">
        <w:t>, including</w:t>
      </w:r>
      <w:r>
        <w:t xml:space="preserve"> because of a history of overt or covert </w:t>
      </w:r>
      <w:r w:rsidR="00F362AA">
        <w:t xml:space="preserve">hostile or discriminatory </w:t>
      </w:r>
      <w:r>
        <w:t>behavior</w:t>
      </w:r>
      <w:r w:rsidR="00F362AA">
        <w:t>,</w:t>
      </w:r>
      <w:r>
        <w:t xml:space="preserve"> microaggressions</w:t>
      </w:r>
      <w:r w:rsidR="00F362AA">
        <w:t>, or other interpersonal conflict</w:t>
      </w:r>
      <w:r>
        <w:t xml:space="preserve">.  </w:t>
      </w:r>
    </w:p>
    <w:p w14:paraId="2013CC3F" w14:textId="0BFF7614" w:rsidR="00EC27AC" w:rsidRDefault="00F362AA" w:rsidP="00EC27AC">
      <w:r>
        <w:t xml:space="preserve">All </w:t>
      </w:r>
      <w:r w:rsidR="00EA02D6">
        <w:t xml:space="preserve">candidates </w:t>
      </w:r>
      <w:r>
        <w:t xml:space="preserve">should be given the opportunity to meet with the Vice Chancellor for Diversity and Inclusion during their </w:t>
      </w:r>
      <w:proofErr w:type="gramStart"/>
      <w:r>
        <w:t>on campus</w:t>
      </w:r>
      <w:proofErr w:type="gramEnd"/>
      <w:r>
        <w:t xml:space="preserve"> interview.  </w:t>
      </w:r>
      <w:r w:rsidR="0099509D">
        <w:t>When candidates</w:t>
      </w:r>
      <w:r>
        <w:t xml:space="preserve"> </w:t>
      </w:r>
      <w:r w:rsidR="00EA02D6">
        <w:t xml:space="preserve">visit Kansas City as part of their interview </w:t>
      </w:r>
      <w:r w:rsidR="00EA02D6">
        <w:lastRenderedPageBreak/>
        <w:t xml:space="preserve">or post-offer decision-making process, </w:t>
      </w:r>
      <w:r w:rsidR="0099509D">
        <w:t xml:space="preserve">they should be given the opportunity to ask questions about the Kansas City community and learn about aspects of the community that most interest them. </w:t>
      </w:r>
    </w:p>
    <w:p w14:paraId="4C769C10" w14:textId="4916247B" w:rsidR="00937345" w:rsidRDefault="00937345" w:rsidP="00937345">
      <w:pPr>
        <w:pStyle w:val="Heading3"/>
        <w:rPr>
          <w:b/>
        </w:rPr>
      </w:pPr>
      <w:r w:rsidRPr="00937345">
        <w:rPr>
          <w:b/>
        </w:rPr>
        <w:t>Offers</w:t>
      </w:r>
    </w:p>
    <w:p w14:paraId="71826716" w14:textId="2561785E" w:rsidR="00937345" w:rsidRPr="00937345" w:rsidRDefault="00937345" w:rsidP="00937345">
      <w:r>
        <w:t>Supervisors/Department Chairs/Deans should work with HR and Faculty Affairs to ensure equity in compensation prior to making an offer.  We recommend that Deans negotiate salary with candidates so that Department Chairs can maintain a neutral relationship with candidates during this process.  Supervisors/Department Chairs/</w:t>
      </w:r>
      <w:r w:rsidR="009D7E18">
        <w:t xml:space="preserve">Deans should maintain a list of non-compensation benefits that can be negotiated with candidates in order to maximize the likelihood of accepting an offer, particularly when salary opportunities are not optimal. </w:t>
      </w:r>
    </w:p>
    <w:p w14:paraId="407EF519" w14:textId="498DF3CE" w:rsidR="004F304B" w:rsidRPr="006C596E" w:rsidRDefault="004F304B" w:rsidP="006C596E">
      <w:pPr>
        <w:pStyle w:val="Heading2"/>
        <w:rPr>
          <w:b/>
        </w:rPr>
      </w:pPr>
      <w:r w:rsidRPr="006C596E">
        <w:rPr>
          <w:b/>
        </w:rPr>
        <w:t>Retention</w:t>
      </w:r>
    </w:p>
    <w:p w14:paraId="242E47B8" w14:textId="77777777" w:rsidR="00CB19DF" w:rsidRPr="00CB19DF" w:rsidRDefault="00CB19DF" w:rsidP="00CB19DF">
      <w:pPr>
        <w:pStyle w:val="Heading3"/>
        <w:rPr>
          <w:rFonts w:eastAsia="Times New Roman"/>
          <w:b/>
        </w:rPr>
      </w:pPr>
      <w:r w:rsidRPr="00CB19DF">
        <w:rPr>
          <w:rFonts w:eastAsia="Times New Roman"/>
          <w:b/>
        </w:rPr>
        <w:t>Onboarding</w:t>
      </w:r>
    </w:p>
    <w:p w14:paraId="1E821811" w14:textId="3C35FD9C" w:rsidR="00CB19DF" w:rsidRDefault="00E22285" w:rsidP="00CB19DF">
      <w:pPr>
        <w:spacing w:after="0" w:line="240" w:lineRule="auto"/>
      </w:pPr>
      <w:r>
        <w:t>All new faculty and staff</w:t>
      </w:r>
      <w:r w:rsidR="00CB19DF">
        <w:t xml:space="preserve"> should</w:t>
      </w:r>
      <w:r w:rsidR="00CB19DF" w:rsidRPr="006D0203">
        <w:t xml:space="preserve"> be provided with information about campus and community professional or affinity groups that </w:t>
      </w:r>
      <w:r>
        <w:t xml:space="preserve">can </w:t>
      </w:r>
      <w:r w:rsidR="00CB19DF" w:rsidRPr="006D0203">
        <w:t>provide a source of support.</w:t>
      </w:r>
    </w:p>
    <w:p w14:paraId="06237C33" w14:textId="77777777" w:rsidR="00CB19DF" w:rsidRDefault="00CB19DF" w:rsidP="004749EC">
      <w:pPr>
        <w:pStyle w:val="Heading3"/>
        <w:rPr>
          <w:b/>
        </w:rPr>
      </w:pPr>
    </w:p>
    <w:p w14:paraId="06C76133" w14:textId="4519B437" w:rsidR="001F0797" w:rsidRPr="004749EC" w:rsidRDefault="001F0797" w:rsidP="004749EC">
      <w:pPr>
        <w:pStyle w:val="Heading3"/>
        <w:rPr>
          <w:b/>
        </w:rPr>
      </w:pPr>
      <w:r w:rsidRPr="004749EC">
        <w:rPr>
          <w:b/>
        </w:rPr>
        <w:t xml:space="preserve">Mentorship </w:t>
      </w:r>
      <w:r w:rsidR="007D772A" w:rsidRPr="004749EC">
        <w:rPr>
          <w:b/>
        </w:rPr>
        <w:t>and Leadership Training</w:t>
      </w:r>
    </w:p>
    <w:p w14:paraId="25B087D5" w14:textId="1D97E1B4" w:rsidR="006C596E" w:rsidRDefault="006C596E" w:rsidP="006C596E">
      <w:r>
        <w:t>All incoming faculty should be assigned a senior faculty mentor</w:t>
      </w:r>
      <w:r w:rsidR="007D772A">
        <w:t>; this has been standard practice in many departments and the mentorship is part of a faculty member’s service obligations</w:t>
      </w:r>
      <w:r>
        <w:t xml:space="preserve">. </w:t>
      </w:r>
      <w:r w:rsidR="00190FDA">
        <w:t xml:space="preserve">When no potential mentors are available within a department/division, the department chair should work with the Dean and Vice Provost for Faculty affairs to seek a mentor external to the department/unit/university.  </w:t>
      </w:r>
      <w:r>
        <w:t xml:space="preserve"> </w:t>
      </w:r>
      <w:r w:rsidR="00E22285">
        <w:t>Faculty affairs should develop training for faculty mentors so that they are prepared to support diverse faculty with</w:t>
      </w:r>
      <w:r>
        <w:t xml:space="preserve"> their adjustment to UMKC.  </w:t>
      </w:r>
      <w:r w:rsidR="007D772A">
        <w:t>We recommend that the Vice Provost for Faculty Affairs be provided an annual pool of funds to support external mentorship, when needed.</w:t>
      </w:r>
      <w:r w:rsidR="006D0203" w:rsidRPr="006D0203">
        <w:t xml:space="preserve"> </w:t>
      </w:r>
    </w:p>
    <w:p w14:paraId="6E50684E" w14:textId="07B23747" w:rsidR="007D772A" w:rsidRPr="006C596E" w:rsidRDefault="007D772A" w:rsidP="006C596E">
      <w:r>
        <w:t>Senior staff should also be provided opportunities for mentorship</w:t>
      </w:r>
      <w:r w:rsidR="00E22285">
        <w:t xml:space="preserve"> training</w:t>
      </w:r>
      <w:r>
        <w:t>, managed through HR.</w:t>
      </w:r>
    </w:p>
    <w:p w14:paraId="64DB87CA" w14:textId="66BA75C7" w:rsidR="007D772A" w:rsidRDefault="00E22285" w:rsidP="007D772A">
      <w:r>
        <w:t>Under-represented faculty and staff who are interested in leadership opportunities should be</w:t>
      </w:r>
      <w:r w:rsidR="007D772A">
        <w:t xml:space="preserve"> encouraged to participate in leadership programs offered by UM System</w:t>
      </w:r>
      <w:r>
        <w:t xml:space="preserve"> (e.g., LDP and ALDP)</w:t>
      </w:r>
      <w:r w:rsidR="007D772A">
        <w:t xml:space="preserve"> and externally (e.g., NCFDD). </w:t>
      </w:r>
      <w:r w:rsidR="004749EC">
        <w:t>F</w:t>
      </w:r>
      <w:r w:rsidR="007D772A">
        <w:t xml:space="preserve">unding should be made available to </w:t>
      </w:r>
      <w:r w:rsidR="004749EC">
        <w:t xml:space="preserve">HR and Faculty </w:t>
      </w:r>
      <w:r w:rsidR="00664B9F">
        <w:t>Affairs</w:t>
      </w:r>
      <w:r w:rsidR="004749EC">
        <w:t xml:space="preserve"> to </w:t>
      </w:r>
      <w:r w:rsidR="007D772A">
        <w:t>support such opportunities</w:t>
      </w:r>
      <w:r w:rsidR="004749EC">
        <w:t xml:space="preserve"> annually.</w:t>
      </w:r>
    </w:p>
    <w:p w14:paraId="747F8B86" w14:textId="77777777" w:rsidR="00CB19DF" w:rsidRPr="001F0797" w:rsidRDefault="00CB19DF" w:rsidP="001F0797">
      <w:pPr>
        <w:spacing w:after="0" w:line="240" w:lineRule="auto"/>
        <w:rPr>
          <w:rFonts w:ascii="Calibri" w:eastAsia="Times New Roman" w:hAnsi="Calibri" w:cs="Calibri"/>
          <w:color w:val="000000"/>
        </w:rPr>
      </w:pPr>
    </w:p>
    <w:p w14:paraId="2C0A3D98" w14:textId="15B18D51" w:rsidR="001F0797" w:rsidRPr="004749EC" w:rsidRDefault="004749EC" w:rsidP="004749EC">
      <w:pPr>
        <w:pStyle w:val="Heading3"/>
        <w:rPr>
          <w:b/>
        </w:rPr>
      </w:pPr>
      <w:r w:rsidRPr="004749EC">
        <w:rPr>
          <w:b/>
        </w:rPr>
        <w:t>Retention O</w:t>
      </w:r>
      <w:r w:rsidR="001F0797" w:rsidRPr="004749EC">
        <w:rPr>
          <w:b/>
        </w:rPr>
        <w:t>ffers</w:t>
      </w:r>
    </w:p>
    <w:p w14:paraId="033855A7" w14:textId="0461C696" w:rsidR="00D10D64" w:rsidRPr="00D10D64" w:rsidRDefault="00664B9F" w:rsidP="00D10D64">
      <w:pPr>
        <w:spacing w:after="0" w:line="240" w:lineRule="auto"/>
        <w:rPr>
          <w:rFonts w:ascii="Calibri" w:eastAsia="Times New Roman" w:hAnsi="Calibri" w:cs="Calibri"/>
          <w:color w:val="000000"/>
        </w:rPr>
      </w:pPr>
      <w:r>
        <w:rPr>
          <w:rFonts w:ascii="Calibri" w:eastAsia="Times New Roman" w:hAnsi="Calibri" w:cs="Calibri"/>
          <w:color w:val="000000"/>
        </w:rPr>
        <w:t>In better financial times,</w:t>
      </w:r>
      <w:r w:rsidR="00190FDA">
        <w:rPr>
          <w:rFonts w:ascii="Calibri" w:eastAsia="Times New Roman" w:hAnsi="Calibri" w:cs="Calibri"/>
          <w:color w:val="000000"/>
        </w:rPr>
        <w:t xml:space="preserve"> we recommend that</w:t>
      </w:r>
      <w:r>
        <w:rPr>
          <w:rFonts w:ascii="Calibri" w:eastAsia="Times New Roman" w:hAnsi="Calibri" w:cs="Calibri"/>
          <w:color w:val="000000"/>
        </w:rPr>
        <w:t xml:space="preserve"> funding should be allocated</w:t>
      </w:r>
      <w:r w:rsidRPr="00664B9F">
        <w:t xml:space="preserve"> </w:t>
      </w:r>
      <w:r w:rsidRPr="00664B9F">
        <w:rPr>
          <w:rFonts w:ascii="Calibri" w:eastAsia="Times New Roman" w:hAnsi="Calibri" w:cs="Calibri"/>
          <w:color w:val="000000"/>
        </w:rPr>
        <w:t>strategically</w:t>
      </w:r>
      <w:r>
        <w:rPr>
          <w:rFonts w:ascii="Calibri" w:eastAsia="Times New Roman" w:hAnsi="Calibri" w:cs="Calibri"/>
          <w:color w:val="000000"/>
        </w:rPr>
        <w:t xml:space="preserve"> to support retention offers for </w:t>
      </w:r>
      <w:r w:rsidR="00921D85">
        <w:rPr>
          <w:rFonts w:ascii="Calibri" w:eastAsia="Times New Roman" w:hAnsi="Calibri" w:cs="Calibri"/>
          <w:color w:val="000000"/>
        </w:rPr>
        <w:t xml:space="preserve">diverse and under-represented </w:t>
      </w:r>
      <w:r>
        <w:rPr>
          <w:rFonts w:ascii="Calibri" w:eastAsia="Times New Roman" w:hAnsi="Calibri" w:cs="Calibri"/>
          <w:color w:val="000000"/>
        </w:rPr>
        <w:t xml:space="preserve">faculty and staff.  </w:t>
      </w:r>
      <w:r w:rsidR="00D10D64">
        <w:rPr>
          <w:rFonts w:ascii="Calibri" w:eastAsia="Times New Roman" w:hAnsi="Calibri" w:cs="Calibri"/>
          <w:color w:val="000000"/>
        </w:rPr>
        <w:t xml:space="preserve"> </w:t>
      </w:r>
      <w:r>
        <w:rPr>
          <w:rFonts w:ascii="Calibri" w:eastAsia="Times New Roman" w:hAnsi="Calibri" w:cs="Calibri"/>
          <w:color w:val="000000"/>
        </w:rPr>
        <w:t>In our current fiscal climate, creative retentio</w:t>
      </w:r>
      <w:r w:rsidR="001329EF">
        <w:rPr>
          <w:rFonts w:ascii="Calibri" w:eastAsia="Times New Roman" w:hAnsi="Calibri" w:cs="Calibri"/>
          <w:color w:val="000000"/>
        </w:rPr>
        <w:t>n strategies focused on improving work satisfaction (e.g., flexible work schedules, extension of start-up funding or opportunities for leadership roles) should be pursued.</w:t>
      </w:r>
      <w:r w:rsidR="000204A4">
        <w:rPr>
          <w:rFonts w:ascii="Calibri" w:eastAsia="Times New Roman" w:hAnsi="Calibri" w:cs="Calibri"/>
          <w:color w:val="000000"/>
        </w:rPr>
        <w:t xml:space="preserve">  </w:t>
      </w:r>
    </w:p>
    <w:p w14:paraId="43726C29" w14:textId="77777777" w:rsidR="00D10D64" w:rsidRDefault="00D10D64" w:rsidP="00965580"/>
    <w:p w14:paraId="13648336" w14:textId="77777777" w:rsidR="004749EC" w:rsidRPr="00664B9F" w:rsidRDefault="001F0797" w:rsidP="00664B9F">
      <w:pPr>
        <w:pStyle w:val="Heading3"/>
        <w:rPr>
          <w:rFonts w:eastAsia="Times New Roman"/>
          <w:b/>
        </w:rPr>
      </w:pPr>
      <w:r w:rsidRPr="00664B9F">
        <w:rPr>
          <w:rFonts w:eastAsia="Times New Roman"/>
          <w:b/>
        </w:rPr>
        <w:t xml:space="preserve">Reclassification </w:t>
      </w:r>
      <w:r w:rsidR="004749EC" w:rsidRPr="00664B9F">
        <w:rPr>
          <w:rFonts w:eastAsia="Times New Roman"/>
          <w:b/>
        </w:rPr>
        <w:t>and Administrative Appointments</w:t>
      </w:r>
    </w:p>
    <w:p w14:paraId="558D0B26" w14:textId="4D8479C2" w:rsidR="001F0797" w:rsidRDefault="00B22552" w:rsidP="00965580">
      <w:r w:rsidRPr="00B22552">
        <w:rPr>
          <w:rFonts w:ascii="Calibri" w:eastAsia="Times New Roman" w:hAnsi="Calibri" w:cs="Calibri"/>
          <w:color w:val="000000"/>
        </w:rPr>
        <w:t xml:space="preserve">The retention of diverse faculty and staff is also important when positions are filled without a competitive recruitment process, such as academic administrative appointments and internal promotions or transfers.  When a position </w:t>
      </w:r>
      <w:r>
        <w:rPr>
          <w:rFonts w:ascii="Calibri" w:eastAsia="Times New Roman" w:hAnsi="Calibri" w:cs="Calibri"/>
          <w:color w:val="000000"/>
        </w:rPr>
        <w:t>will be filled</w:t>
      </w:r>
      <w:r w:rsidRPr="00B22552">
        <w:rPr>
          <w:rFonts w:ascii="Calibri" w:eastAsia="Times New Roman" w:hAnsi="Calibri" w:cs="Calibri"/>
          <w:color w:val="000000"/>
        </w:rPr>
        <w:t xml:space="preserve"> without a competitive recruitment process, we recommend that the supervisor consult with </w:t>
      </w:r>
      <w:r>
        <w:rPr>
          <w:rFonts w:ascii="Calibri" w:eastAsia="Times New Roman" w:hAnsi="Calibri" w:cs="Calibri"/>
          <w:color w:val="000000"/>
        </w:rPr>
        <w:t xml:space="preserve">Human Resources and/or the Office of Diversity and </w:t>
      </w:r>
      <w:r>
        <w:rPr>
          <w:rFonts w:ascii="Calibri" w:eastAsia="Times New Roman" w:hAnsi="Calibri" w:cs="Calibri"/>
          <w:color w:val="000000"/>
        </w:rPr>
        <w:lastRenderedPageBreak/>
        <w:t>Inclusion to</w:t>
      </w:r>
      <w:r w:rsidRPr="00B22552">
        <w:rPr>
          <w:rFonts w:ascii="Calibri" w:eastAsia="Times New Roman" w:hAnsi="Calibri" w:cs="Calibri"/>
          <w:color w:val="000000"/>
        </w:rPr>
        <w:t xml:space="preserve"> establish an appropriate process for </w:t>
      </w:r>
      <w:r>
        <w:rPr>
          <w:rFonts w:ascii="Calibri" w:eastAsia="Times New Roman" w:hAnsi="Calibri" w:cs="Calibri"/>
          <w:color w:val="000000"/>
        </w:rPr>
        <w:t xml:space="preserve">equitably </w:t>
      </w:r>
      <w:r w:rsidRPr="00B22552">
        <w:rPr>
          <w:rFonts w:ascii="Calibri" w:eastAsia="Times New Roman" w:hAnsi="Calibri" w:cs="Calibri"/>
          <w:color w:val="000000"/>
        </w:rPr>
        <w:t>soliciting and considering candidates before making a decision.</w:t>
      </w:r>
      <w:r>
        <w:rPr>
          <w:rFonts w:ascii="Calibri" w:eastAsia="Times New Roman" w:hAnsi="Calibri" w:cs="Calibri"/>
          <w:color w:val="000000"/>
        </w:rPr>
        <w:t xml:space="preserve">  </w:t>
      </w:r>
    </w:p>
    <w:p w14:paraId="0F1EA94B" w14:textId="5B0D0B0B" w:rsidR="004749EC" w:rsidRPr="003C7DA5" w:rsidRDefault="004749EC" w:rsidP="003C7DA5">
      <w:pPr>
        <w:pStyle w:val="Heading3"/>
        <w:rPr>
          <w:rFonts w:eastAsia="Times New Roman"/>
          <w:b/>
        </w:rPr>
      </w:pPr>
      <w:r w:rsidRPr="003C7DA5">
        <w:rPr>
          <w:rFonts w:eastAsia="Times New Roman"/>
          <w:b/>
        </w:rPr>
        <w:t>Annual Evaluation</w:t>
      </w:r>
      <w:r w:rsidR="003C7DA5">
        <w:rPr>
          <w:rFonts w:eastAsia="Times New Roman"/>
          <w:b/>
        </w:rPr>
        <w:t xml:space="preserve"> of Faculty</w:t>
      </w:r>
      <w:r w:rsidRPr="003C7DA5">
        <w:rPr>
          <w:rFonts w:eastAsia="Times New Roman"/>
          <w:b/>
        </w:rPr>
        <w:t xml:space="preserve"> and Promotion and Tenure</w:t>
      </w:r>
    </w:p>
    <w:p w14:paraId="19B1479D" w14:textId="77777777" w:rsidR="004749EC" w:rsidRDefault="004749EC" w:rsidP="001F0797">
      <w:pPr>
        <w:spacing w:after="0" w:line="240" w:lineRule="auto"/>
        <w:rPr>
          <w:rFonts w:ascii="Calibri" w:eastAsia="Times New Roman" w:hAnsi="Calibri" w:cs="Calibri"/>
          <w:color w:val="000000"/>
        </w:rPr>
      </w:pPr>
    </w:p>
    <w:p w14:paraId="022F3CB8" w14:textId="156D0170" w:rsidR="00185C15" w:rsidRDefault="003C7DA5" w:rsidP="001F0797">
      <w:pPr>
        <w:spacing w:after="0" w:line="240" w:lineRule="auto"/>
        <w:rPr>
          <w:rFonts w:ascii="Calibri" w:eastAsia="Times New Roman" w:hAnsi="Calibri" w:cs="Calibri"/>
          <w:color w:val="000000"/>
        </w:rPr>
      </w:pPr>
      <w:r>
        <w:rPr>
          <w:rFonts w:ascii="Calibri" w:eastAsia="Times New Roman" w:hAnsi="Calibri" w:cs="Calibri"/>
          <w:color w:val="000000"/>
        </w:rPr>
        <w:t>In many academic units, service</w:t>
      </w:r>
      <w:r w:rsidR="006C43FF">
        <w:rPr>
          <w:rFonts w:ascii="Calibri" w:eastAsia="Times New Roman" w:hAnsi="Calibri" w:cs="Calibri"/>
          <w:color w:val="000000"/>
        </w:rPr>
        <w:t>, particularly representation-based service,</w:t>
      </w:r>
      <w:r>
        <w:rPr>
          <w:rFonts w:ascii="Calibri" w:eastAsia="Times New Roman" w:hAnsi="Calibri" w:cs="Calibri"/>
          <w:color w:val="000000"/>
        </w:rPr>
        <w:t xml:space="preserve"> is not</w:t>
      </w:r>
      <w:r w:rsidR="006C43FF">
        <w:rPr>
          <w:rFonts w:ascii="Calibri" w:eastAsia="Times New Roman" w:hAnsi="Calibri" w:cs="Calibri"/>
          <w:color w:val="000000"/>
        </w:rPr>
        <w:t xml:space="preserve"> identified and</w:t>
      </w:r>
      <w:r>
        <w:rPr>
          <w:rFonts w:ascii="Calibri" w:eastAsia="Times New Roman" w:hAnsi="Calibri" w:cs="Calibri"/>
          <w:color w:val="000000"/>
        </w:rPr>
        <w:t xml:space="preserve"> quantified adequately in the annual evaluation process.  </w:t>
      </w:r>
      <w:r w:rsidR="006C43FF">
        <w:rPr>
          <w:rFonts w:ascii="Calibri" w:eastAsia="Times New Roman" w:hAnsi="Calibri" w:cs="Calibri"/>
          <w:color w:val="000000"/>
        </w:rPr>
        <w:t xml:space="preserve">This can lead to disparate impact on faculty workload, as well as productivity in research and teaching.  </w:t>
      </w:r>
      <w:r>
        <w:rPr>
          <w:rFonts w:ascii="Calibri" w:eastAsia="Times New Roman" w:hAnsi="Calibri" w:cs="Calibri"/>
          <w:color w:val="000000"/>
        </w:rPr>
        <w:t xml:space="preserve">Each </w:t>
      </w:r>
      <w:r w:rsidR="006C43FF">
        <w:rPr>
          <w:rFonts w:ascii="Calibri" w:eastAsia="Times New Roman" w:hAnsi="Calibri" w:cs="Calibri"/>
          <w:color w:val="000000"/>
        </w:rPr>
        <w:t xml:space="preserve">academic </w:t>
      </w:r>
      <w:r>
        <w:rPr>
          <w:rFonts w:ascii="Calibri" w:eastAsia="Times New Roman" w:hAnsi="Calibri" w:cs="Calibri"/>
          <w:color w:val="000000"/>
        </w:rPr>
        <w:t>unit should develop metrics to quantify service roles and ensure that service obligation align</w:t>
      </w:r>
      <w:r w:rsidR="006C43FF">
        <w:rPr>
          <w:rFonts w:ascii="Calibri" w:eastAsia="Times New Roman" w:hAnsi="Calibri" w:cs="Calibri"/>
          <w:color w:val="000000"/>
        </w:rPr>
        <w:t>s</w:t>
      </w:r>
      <w:r>
        <w:rPr>
          <w:rFonts w:ascii="Calibri" w:eastAsia="Times New Roman" w:hAnsi="Calibri" w:cs="Calibri"/>
          <w:color w:val="000000"/>
        </w:rPr>
        <w:t xml:space="preserve"> with workload.  When an individual clearly engages in more </w:t>
      </w:r>
      <w:r w:rsidR="00190FDA">
        <w:rPr>
          <w:rFonts w:ascii="Calibri" w:eastAsia="Times New Roman" w:hAnsi="Calibri" w:cs="Calibri"/>
          <w:color w:val="000000"/>
        </w:rPr>
        <w:t>service than</w:t>
      </w:r>
      <w:r>
        <w:rPr>
          <w:rFonts w:ascii="Calibri" w:eastAsia="Times New Roman" w:hAnsi="Calibri" w:cs="Calibri"/>
          <w:color w:val="000000"/>
        </w:rPr>
        <w:t xml:space="preserve"> their assigned workload, the unit should recognize this</w:t>
      </w:r>
      <w:r w:rsidR="006C43FF">
        <w:rPr>
          <w:rFonts w:ascii="Calibri" w:eastAsia="Times New Roman" w:hAnsi="Calibri" w:cs="Calibri"/>
          <w:color w:val="000000"/>
        </w:rPr>
        <w:t xml:space="preserve"> through the annual evaluation process. When unit leaders recognize disparities in service workload, they should reassign or remove service roles to achieve greater equity in service assignments. </w:t>
      </w:r>
    </w:p>
    <w:p w14:paraId="6FD1701B" w14:textId="77777777" w:rsidR="001F0797" w:rsidRDefault="001F0797" w:rsidP="001F0797">
      <w:pPr>
        <w:spacing w:after="0" w:line="240" w:lineRule="auto"/>
        <w:rPr>
          <w:rFonts w:ascii="Calibri" w:eastAsia="Times New Roman" w:hAnsi="Calibri" w:cs="Calibri"/>
          <w:color w:val="000000"/>
        </w:rPr>
      </w:pPr>
    </w:p>
    <w:p w14:paraId="51B79763" w14:textId="164F24B0" w:rsidR="001F0797" w:rsidRPr="001F0797" w:rsidRDefault="003C7DA5" w:rsidP="001F0797">
      <w:pPr>
        <w:spacing w:after="0" w:line="240" w:lineRule="auto"/>
        <w:rPr>
          <w:rFonts w:ascii="Calibri" w:eastAsia="Times New Roman" w:hAnsi="Calibri" w:cs="Calibri"/>
          <w:color w:val="000000"/>
        </w:rPr>
      </w:pPr>
      <w:r>
        <w:rPr>
          <w:rFonts w:ascii="Calibri" w:eastAsia="Times New Roman" w:hAnsi="Calibri" w:cs="Calibri"/>
          <w:color w:val="000000"/>
        </w:rPr>
        <w:t>Each unit</w:t>
      </w:r>
      <w:r w:rsidR="00743EDD">
        <w:rPr>
          <w:rFonts w:ascii="Calibri" w:eastAsia="Times New Roman" w:hAnsi="Calibri" w:cs="Calibri"/>
          <w:color w:val="000000"/>
        </w:rPr>
        <w:t>’</w:t>
      </w:r>
      <w:r>
        <w:rPr>
          <w:rFonts w:ascii="Calibri" w:eastAsia="Times New Roman" w:hAnsi="Calibri" w:cs="Calibri"/>
          <w:color w:val="000000"/>
        </w:rPr>
        <w:t xml:space="preserve">s P&amp;T criteria should be evaluated for </w:t>
      </w:r>
      <w:r w:rsidR="006C43FF">
        <w:rPr>
          <w:rFonts w:ascii="Calibri" w:eastAsia="Times New Roman" w:hAnsi="Calibri" w:cs="Calibri"/>
          <w:color w:val="000000"/>
        </w:rPr>
        <w:t>majority-centric</w:t>
      </w:r>
      <w:r>
        <w:rPr>
          <w:rFonts w:ascii="Calibri" w:eastAsia="Times New Roman" w:hAnsi="Calibri" w:cs="Calibri"/>
          <w:color w:val="000000"/>
        </w:rPr>
        <w:t xml:space="preserve"> values with regard to research, teaching, and service obligations.  </w:t>
      </w:r>
      <w:r w:rsidR="00185C15">
        <w:rPr>
          <w:rFonts w:ascii="Calibri" w:eastAsia="Times New Roman" w:hAnsi="Calibri" w:cs="Calibri"/>
          <w:color w:val="000000"/>
        </w:rPr>
        <w:t xml:space="preserve"> </w:t>
      </w:r>
    </w:p>
    <w:p w14:paraId="18DB362C" w14:textId="77777777" w:rsidR="001F0797" w:rsidRPr="001F0797" w:rsidRDefault="001F0797" w:rsidP="001F0797">
      <w:pPr>
        <w:spacing w:after="0" w:line="240" w:lineRule="auto"/>
        <w:rPr>
          <w:rFonts w:ascii="Calibri" w:eastAsia="Times New Roman" w:hAnsi="Calibri" w:cs="Calibri"/>
          <w:color w:val="000000"/>
        </w:rPr>
      </w:pPr>
    </w:p>
    <w:p w14:paraId="618D9F64" w14:textId="77777777" w:rsidR="004F304B" w:rsidRDefault="004F304B" w:rsidP="00965580"/>
    <w:p w14:paraId="11289AF8" w14:textId="77777777" w:rsidR="00965580" w:rsidRPr="004749EC" w:rsidRDefault="00B405DB" w:rsidP="00B405DB">
      <w:pPr>
        <w:pStyle w:val="Heading2"/>
        <w:rPr>
          <w:b/>
        </w:rPr>
      </w:pPr>
      <w:r w:rsidRPr="004749EC">
        <w:rPr>
          <w:b/>
        </w:rPr>
        <w:t>Efforts to Advance Both Recruitment and Retention</w:t>
      </w:r>
    </w:p>
    <w:p w14:paraId="35C7AB80" w14:textId="4614A38E" w:rsidR="00D35642" w:rsidRPr="00D35642" w:rsidRDefault="00743EDD" w:rsidP="00D35642">
      <w:pPr>
        <w:spacing w:after="0" w:line="240" w:lineRule="auto"/>
        <w:rPr>
          <w:rFonts w:ascii="Calibri" w:eastAsia="Times New Roman" w:hAnsi="Calibri" w:cs="Calibri"/>
          <w:color w:val="000000"/>
        </w:rPr>
      </w:pPr>
      <w:r>
        <w:rPr>
          <w:rFonts w:ascii="Calibri" w:eastAsia="Times New Roman" w:hAnsi="Calibri" w:cs="Calibri"/>
          <w:color w:val="000000"/>
        </w:rPr>
        <w:t xml:space="preserve">To implement the faculty-focused suggestions of the task force, we recommend the creation of a D&amp;I Provost Faculty </w:t>
      </w:r>
      <w:r w:rsidR="00D35642" w:rsidRPr="00D35642">
        <w:rPr>
          <w:rFonts w:ascii="Calibri" w:eastAsia="Times New Roman" w:hAnsi="Calibri" w:cs="Calibri"/>
          <w:color w:val="000000"/>
        </w:rPr>
        <w:t>Fellow housed in Faculty Affairs</w:t>
      </w:r>
      <w:r>
        <w:rPr>
          <w:rFonts w:ascii="Calibri" w:eastAsia="Times New Roman" w:hAnsi="Calibri" w:cs="Calibri"/>
          <w:color w:val="000000"/>
        </w:rPr>
        <w:t xml:space="preserve">.  The Fellow would assist with the sourcing, training, and hiring practices of units, as well as lead mentorship programming and support units in the evaluation and revision of annual reviews and discipline-specific P&amp;T criteria. </w:t>
      </w:r>
    </w:p>
    <w:p w14:paraId="6C695C73" w14:textId="77777777" w:rsidR="00685841" w:rsidRDefault="00685841" w:rsidP="00685841">
      <w:pPr>
        <w:spacing w:after="0" w:line="240" w:lineRule="auto"/>
        <w:rPr>
          <w:rFonts w:ascii="Calibri" w:eastAsia="Times New Roman" w:hAnsi="Calibri" w:cs="Calibri"/>
          <w:color w:val="000000"/>
        </w:rPr>
      </w:pPr>
    </w:p>
    <w:p w14:paraId="4A7401BD" w14:textId="5DACF460" w:rsidR="00685841" w:rsidRPr="00685841" w:rsidRDefault="00743EDD" w:rsidP="00685841">
      <w:pPr>
        <w:spacing w:after="0" w:line="240" w:lineRule="auto"/>
        <w:rPr>
          <w:rFonts w:ascii="Calibri" w:eastAsia="Times New Roman" w:hAnsi="Calibri" w:cs="Calibri"/>
          <w:color w:val="000000"/>
        </w:rPr>
      </w:pPr>
      <w:r>
        <w:rPr>
          <w:rFonts w:ascii="Calibri" w:eastAsia="Times New Roman" w:hAnsi="Calibri" w:cs="Calibri"/>
          <w:color w:val="000000"/>
        </w:rPr>
        <w:t>Each unit currently has a</w:t>
      </w:r>
      <w:r w:rsidR="00CB19DF">
        <w:rPr>
          <w:rFonts w:ascii="Calibri" w:eastAsia="Times New Roman" w:hAnsi="Calibri" w:cs="Calibri"/>
          <w:color w:val="000000"/>
        </w:rPr>
        <w:t xml:space="preserve"> designated</w:t>
      </w:r>
      <w:r>
        <w:rPr>
          <w:rFonts w:ascii="Calibri" w:eastAsia="Times New Roman" w:hAnsi="Calibri" w:cs="Calibri"/>
          <w:color w:val="000000"/>
        </w:rPr>
        <w:t xml:space="preserve"> </w:t>
      </w:r>
      <w:r w:rsidR="00685841" w:rsidRPr="00685841">
        <w:rPr>
          <w:rFonts w:ascii="Calibri" w:eastAsia="Times New Roman" w:hAnsi="Calibri" w:cs="Calibri"/>
          <w:color w:val="000000"/>
        </w:rPr>
        <w:t>Diversi</w:t>
      </w:r>
      <w:r>
        <w:rPr>
          <w:rFonts w:ascii="Calibri" w:eastAsia="Times New Roman" w:hAnsi="Calibri" w:cs="Calibri"/>
          <w:color w:val="000000"/>
        </w:rPr>
        <w:t>ty Coordinator</w:t>
      </w:r>
      <w:r w:rsidR="00CB19DF">
        <w:rPr>
          <w:rFonts w:ascii="Calibri" w:eastAsia="Times New Roman" w:hAnsi="Calibri" w:cs="Calibri"/>
          <w:color w:val="000000"/>
        </w:rPr>
        <w:t xml:space="preserve">, and in most units this work is part of one’s </w:t>
      </w:r>
      <w:r w:rsidR="0020672E">
        <w:rPr>
          <w:rFonts w:ascii="Calibri" w:eastAsia="Times New Roman" w:hAnsi="Calibri" w:cs="Calibri"/>
          <w:color w:val="000000"/>
        </w:rPr>
        <w:t>administrative/</w:t>
      </w:r>
      <w:r w:rsidR="00CB19DF">
        <w:rPr>
          <w:rFonts w:ascii="Calibri" w:eastAsia="Times New Roman" w:hAnsi="Calibri" w:cs="Calibri"/>
          <w:color w:val="000000"/>
        </w:rPr>
        <w:t>service load (faculty) or additional duties as assigned (staff)</w:t>
      </w:r>
      <w:r>
        <w:rPr>
          <w:rFonts w:ascii="Calibri" w:eastAsia="Times New Roman" w:hAnsi="Calibri" w:cs="Calibri"/>
          <w:color w:val="000000"/>
        </w:rPr>
        <w:t xml:space="preserve">.  We recommend that </w:t>
      </w:r>
      <w:r w:rsidR="0020672E">
        <w:rPr>
          <w:rFonts w:ascii="Calibri" w:eastAsia="Times New Roman" w:hAnsi="Calibri" w:cs="Calibri"/>
          <w:color w:val="000000"/>
        </w:rPr>
        <w:t>the unit Diversity Coordinators</w:t>
      </w:r>
      <w:r>
        <w:rPr>
          <w:rFonts w:ascii="Calibri" w:eastAsia="Times New Roman" w:hAnsi="Calibri" w:cs="Calibri"/>
          <w:color w:val="000000"/>
        </w:rPr>
        <w:t xml:space="preserve"> meet </w:t>
      </w:r>
      <w:r w:rsidR="0020672E">
        <w:rPr>
          <w:rFonts w:ascii="Calibri" w:eastAsia="Times New Roman" w:hAnsi="Calibri" w:cs="Calibri"/>
          <w:color w:val="000000"/>
        </w:rPr>
        <w:t>twice/year</w:t>
      </w:r>
      <w:r>
        <w:rPr>
          <w:rFonts w:ascii="Calibri" w:eastAsia="Times New Roman" w:hAnsi="Calibri" w:cs="Calibri"/>
          <w:color w:val="000000"/>
        </w:rPr>
        <w:t xml:space="preserve"> with the Vice Chancellor for D&amp;I</w:t>
      </w:r>
      <w:r w:rsidR="0020672E">
        <w:rPr>
          <w:rFonts w:ascii="Calibri" w:eastAsia="Times New Roman" w:hAnsi="Calibri" w:cs="Calibri"/>
          <w:color w:val="000000"/>
        </w:rPr>
        <w:t xml:space="preserve">, Provost, Vice Chancellor for Human Resources, Vice Provost for Faculty Affairs and Provost Faculty Fellow </w:t>
      </w:r>
      <w:r>
        <w:rPr>
          <w:rFonts w:ascii="Calibri" w:eastAsia="Times New Roman" w:hAnsi="Calibri" w:cs="Calibri"/>
          <w:color w:val="000000"/>
        </w:rPr>
        <w:t xml:space="preserve">to evaluate barriers and facilitators of change </w:t>
      </w:r>
      <w:r w:rsidR="0020672E">
        <w:rPr>
          <w:rFonts w:ascii="Calibri" w:eastAsia="Times New Roman" w:hAnsi="Calibri" w:cs="Calibri"/>
          <w:color w:val="000000"/>
        </w:rPr>
        <w:t xml:space="preserve">across campus.  Based on the feedback obtained in these bi-annual meetings, policy and strategy for the </w:t>
      </w:r>
      <w:r>
        <w:rPr>
          <w:rFonts w:ascii="Calibri" w:eastAsia="Times New Roman" w:hAnsi="Calibri" w:cs="Calibri"/>
          <w:color w:val="000000"/>
        </w:rPr>
        <w:t>implementation of recr</w:t>
      </w:r>
      <w:r w:rsidR="0020672E">
        <w:rPr>
          <w:rFonts w:ascii="Calibri" w:eastAsia="Times New Roman" w:hAnsi="Calibri" w:cs="Calibri"/>
          <w:color w:val="000000"/>
        </w:rPr>
        <w:t xml:space="preserve">uitment and retention practices will be modified as needed.  </w:t>
      </w:r>
    </w:p>
    <w:p w14:paraId="29E35F05" w14:textId="3CAE8ADE" w:rsidR="000B04E1" w:rsidRDefault="000B04E1" w:rsidP="00B405DB"/>
    <w:p w14:paraId="12B7CA43" w14:textId="11969207" w:rsidR="000B04E1" w:rsidRPr="004749EC" w:rsidRDefault="000B04E1" w:rsidP="000B04E1">
      <w:pPr>
        <w:pStyle w:val="Heading2"/>
        <w:rPr>
          <w:b/>
        </w:rPr>
      </w:pPr>
      <w:r w:rsidRPr="004749EC">
        <w:rPr>
          <w:b/>
        </w:rPr>
        <w:t>Evaluating Outcomes</w:t>
      </w:r>
    </w:p>
    <w:p w14:paraId="6AF25460" w14:textId="753F38A5" w:rsidR="00DF2665" w:rsidRPr="00DF2665" w:rsidRDefault="00120ACE" w:rsidP="00DF2665">
      <w:pPr>
        <w:rPr>
          <w:rFonts w:ascii="Calibri" w:eastAsia="Times New Roman" w:hAnsi="Calibri" w:cs="Calibri"/>
          <w:color w:val="000000"/>
        </w:rPr>
      </w:pPr>
      <w:r>
        <w:rPr>
          <w:rFonts w:ascii="Calibri" w:eastAsia="Times New Roman" w:hAnsi="Calibri" w:cs="Calibri"/>
          <w:color w:val="000000"/>
        </w:rPr>
        <w:t xml:space="preserve">Leadership should </w:t>
      </w:r>
      <w:r w:rsidR="006C43FF">
        <w:rPr>
          <w:rFonts w:ascii="Calibri" w:eastAsia="Times New Roman" w:hAnsi="Calibri" w:cs="Calibri"/>
          <w:color w:val="000000"/>
        </w:rPr>
        <w:t xml:space="preserve">continue to </w:t>
      </w:r>
      <w:r>
        <w:rPr>
          <w:rFonts w:ascii="Calibri" w:eastAsia="Times New Roman" w:hAnsi="Calibri" w:cs="Calibri"/>
          <w:color w:val="000000"/>
        </w:rPr>
        <w:t>engage in a regular</w:t>
      </w:r>
      <w:r w:rsidR="00DF2665" w:rsidRPr="00DF2665">
        <w:rPr>
          <w:rFonts w:ascii="Calibri" w:eastAsia="Times New Roman" w:hAnsi="Calibri" w:cs="Calibri"/>
          <w:color w:val="000000"/>
        </w:rPr>
        <w:t xml:space="preserve"> equity review process</w:t>
      </w:r>
      <w:r>
        <w:rPr>
          <w:rFonts w:ascii="Calibri" w:eastAsia="Times New Roman" w:hAnsi="Calibri" w:cs="Calibri"/>
          <w:color w:val="000000"/>
        </w:rPr>
        <w:t xml:space="preserve"> focused on representation and salary disparities within units.  Over time, </w:t>
      </w:r>
      <w:r w:rsidR="00DF2665" w:rsidRPr="00DF2665">
        <w:rPr>
          <w:rFonts w:ascii="Calibri" w:eastAsia="Times New Roman" w:hAnsi="Calibri" w:cs="Calibri"/>
          <w:color w:val="000000"/>
        </w:rPr>
        <w:t xml:space="preserve">accountability measures </w:t>
      </w:r>
      <w:r>
        <w:rPr>
          <w:rFonts w:ascii="Calibri" w:eastAsia="Times New Roman" w:hAnsi="Calibri" w:cs="Calibri"/>
          <w:color w:val="000000"/>
        </w:rPr>
        <w:t xml:space="preserve">should be established </w:t>
      </w:r>
      <w:r w:rsidR="00DF2665" w:rsidRPr="00DF2665">
        <w:rPr>
          <w:rFonts w:ascii="Calibri" w:eastAsia="Times New Roman" w:hAnsi="Calibri" w:cs="Calibri"/>
          <w:color w:val="000000"/>
        </w:rPr>
        <w:t xml:space="preserve">for units </w:t>
      </w:r>
      <w:r w:rsidR="006C43FF">
        <w:rPr>
          <w:rFonts w:ascii="Calibri" w:eastAsia="Times New Roman" w:hAnsi="Calibri" w:cs="Calibri"/>
          <w:color w:val="000000"/>
        </w:rPr>
        <w:t>who</w:t>
      </w:r>
      <w:r w:rsidR="00DF2665" w:rsidRPr="00DF2665">
        <w:rPr>
          <w:rFonts w:ascii="Calibri" w:eastAsia="Times New Roman" w:hAnsi="Calibri" w:cs="Calibri"/>
          <w:color w:val="000000"/>
        </w:rPr>
        <w:t xml:space="preserve"> continue to experience disparities</w:t>
      </w:r>
      <w:r w:rsidR="006C43FF">
        <w:rPr>
          <w:rFonts w:ascii="Calibri" w:eastAsia="Times New Roman" w:hAnsi="Calibri" w:cs="Calibri"/>
          <w:color w:val="000000"/>
        </w:rPr>
        <w:t xml:space="preserve"> in representation or salary of under-represented faculty and staff</w:t>
      </w:r>
      <w:r>
        <w:rPr>
          <w:rFonts w:ascii="Calibri" w:eastAsia="Times New Roman" w:hAnsi="Calibri" w:cs="Calibri"/>
          <w:color w:val="000000"/>
        </w:rPr>
        <w:t xml:space="preserve">. </w:t>
      </w:r>
    </w:p>
    <w:p w14:paraId="2137F88C" w14:textId="1D5872C5" w:rsidR="000B04E1" w:rsidRPr="000B04E1" w:rsidRDefault="000B04E1" w:rsidP="000B04E1">
      <w:pPr>
        <w:spacing w:after="0" w:line="240" w:lineRule="auto"/>
        <w:rPr>
          <w:rFonts w:ascii="Calibri" w:eastAsia="Times New Roman" w:hAnsi="Calibri" w:cs="Calibri"/>
          <w:color w:val="000000"/>
        </w:rPr>
      </w:pPr>
    </w:p>
    <w:p w14:paraId="6CBD0BA9" w14:textId="68947CE8" w:rsidR="00C616D6" w:rsidRPr="004749EC" w:rsidRDefault="004749EC" w:rsidP="00C616D6">
      <w:pPr>
        <w:pStyle w:val="Heading2"/>
        <w:rPr>
          <w:b/>
        </w:rPr>
      </w:pPr>
      <w:r w:rsidRPr="004749EC">
        <w:rPr>
          <w:b/>
        </w:rPr>
        <w:t>Resources</w:t>
      </w:r>
    </w:p>
    <w:p w14:paraId="2B75512D" w14:textId="77777777" w:rsidR="00C616D6" w:rsidRDefault="00C616D6" w:rsidP="00C616D6">
      <w:pPr>
        <w:rPr>
          <w:rFonts w:ascii="Calibri" w:eastAsia="Times New Roman" w:hAnsi="Calibri" w:cs="Calibri"/>
          <w:color w:val="000000"/>
        </w:rPr>
      </w:pPr>
      <w:r>
        <w:t xml:space="preserve">American Psychological Association How to Recruit and Hire Ethnic Minority Faculty: </w:t>
      </w:r>
      <w:hyperlink r:id="rId12" w:history="1">
        <w:r w:rsidRPr="00E27EF9">
          <w:rPr>
            <w:rStyle w:val="Hyperlink"/>
            <w:rFonts w:ascii="Calibri" w:eastAsia="Times New Roman" w:hAnsi="Calibri" w:cs="Calibri"/>
          </w:rPr>
          <w:t>https://www.apa.org/pi/oema/resources/brochures/how-to</w:t>
        </w:r>
      </w:hyperlink>
    </w:p>
    <w:p w14:paraId="6EA87C92" w14:textId="70C8295E" w:rsidR="004749EC" w:rsidRDefault="004749EC" w:rsidP="004749EC">
      <w:pPr>
        <w:spacing w:line="240" w:lineRule="auto"/>
        <w:contextualSpacing/>
      </w:pPr>
      <w:r>
        <w:t>Inside Higher Ed:</w:t>
      </w:r>
    </w:p>
    <w:p w14:paraId="586CC72C" w14:textId="66EB5F00" w:rsidR="000B04E1" w:rsidRPr="00B405DB" w:rsidRDefault="000168F1" w:rsidP="004749EC">
      <w:pPr>
        <w:spacing w:line="240" w:lineRule="auto"/>
        <w:contextualSpacing/>
      </w:pPr>
      <w:hyperlink r:id="rId13" w:history="1">
        <w:r w:rsidR="004749EC">
          <w:rPr>
            <w:rStyle w:val="Hyperlink"/>
          </w:rPr>
          <w:t>https://www.insidehighered.com/advice/2018/07/19/advice-deans-department-heads-and-search-committees-recruiting-diverse-faculty</w:t>
        </w:r>
      </w:hyperlink>
    </w:p>
    <w:sectPr w:rsidR="000B04E1" w:rsidRPr="00B40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46888"/>
    <w:multiLevelType w:val="hybridMultilevel"/>
    <w:tmpl w:val="83BA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80"/>
    <w:rsid w:val="000168F1"/>
    <w:rsid w:val="000204A4"/>
    <w:rsid w:val="00053827"/>
    <w:rsid w:val="00054AEB"/>
    <w:rsid w:val="000A2E3A"/>
    <w:rsid w:val="000B04E1"/>
    <w:rsid w:val="00114410"/>
    <w:rsid w:val="00120ACE"/>
    <w:rsid w:val="001329EF"/>
    <w:rsid w:val="0014287A"/>
    <w:rsid w:val="00185C15"/>
    <w:rsid w:val="00190FDA"/>
    <w:rsid w:val="001F0797"/>
    <w:rsid w:val="0020672E"/>
    <w:rsid w:val="00207B0F"/>
    <w:rsid w:val="002C669E"/>
    <w:rsid w:val="00327BD5"/>
    <w:rsid w:val="00336478"/>
    <w:rsid w:val="00380320"/>
    <w:rsid w:val="003B4AB7"/>
    <w:rsid w:val="003C7DA5"/>
    <w:rsid w:val="004019EC"/>
    <w:rsid w:val="004749EC"/>
    <w:rsid w:val="00482FFB"/>
    <w:rsid w:val="004852F5"/>
    <w:rsid w:val="004C0DA9"/>
    <w:rsid w:val="004C7516"/>
    <w:rsid w:val="004D427F"/>
    <w:rsid w:val="004E1821"/>
    <w:rsid w:val="004E6281"/>
    <w:rsid w:val="004F304B"/>
    <w:rsid w:val="00542073"/>
    <w:rsid w:val="0055171D"/>
    <w:rsid w:val="006317C2"/>
    <w:rsid w:val="00637461"/>
    <w:rsid w:val="00662B10"/>
    <w:rsid w:val="00664B9F"/>
    <w:rsid w:val="00685841"/>
    <w:rsid w:val="006C43FF"/>
    <w:rsid w:val="006C596E"/>
    <w:rsid w:val="006D0203"/>
    <w:rsid w:val="00743EDD"/>
    <w:rsid w:val="007A5A41"/>
    <w:rsid w:val="007D772A"/>
    <w:rsid w:val="0085137F"/>
    <w:rsid w:val="008A05F4"/>
    <w:rsid w:val="008B4963"/>
    <w:rsid w:val="00921D85"/>
    <w:rsid w:val="00937345"/>
    <w:rsid w:val="00965580"/>
    <w:rsid w:val="009755B5"/>
    <w:rsid w:val="0098574B"/>
    <w:rsid w:val="0099509D"/>
    <w:rsid w:val="009A698F"/>
    <w:rsid w:val="009D7E18"/>
    <w:rsid w:val="00A16B4B"/>
    <w:rsid w:val="00A738C0"/>
    <w:rsid w:val="00AA3CBF"/>
    <w:rsid w:val="00B22552"/>
    <w:rsid w:val="00B405DB"/>
    <w:rsid w:val="00B455E7"/>
    <w:rsid w:val="00B86BF3"/>
    <w:rsid w:val="00C616D6"/>
    <w:rsid w:val="00C626B7"/>
    <w:rsid w:val="00CA10DE"/>
    <w:rsid w:val="00CB19DF"/>
    <w:rsid w:val="00CC5CAB"/>
    <w:rsid w:val="00CE12DD"/>
    <w:rsid w:val="00D10D64"/>
    <w:rsid w:val="00D24A8C"/>
    <w:rsid w:val="00D35642"/>
    <w:rsid w:val="00DF2665"/>
    <w:rsid w:val="00E22285"/>
    <w:rsid w:val="00E76496"/>
    <w:rsid w:val="00EA02D6"/>
    <w:rsid w:val="00EA28AA"/>
    <w:rsid w:val="00EA73CC"/>
    <w:rsid w:val="00EC27AC"/>
    <w:rsid w:val="00EE5167"/>
    <w:rsid w:val="00F260E1"/>
    <w:rsid w:val="00F342C6"/>
    <w:rsid w:val="00F362AA"/>
    <w:rsid w:val="00F6233D"/>
    <w:rsid w:val="00F71542"/>
    <w:rsid w:val="00F82A8B"/>
    <w:rsid w:val="00FD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DB37"/>
  <w15:chartTrackingRefBased/>
  <w15:docId w15:val="{D3F1D148-39FD-4F8C-A347-4B1A53E8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44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44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44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580"/>
    <w:pPr>
      <w:ind w:left="720"/>
      <w:contextualSpacing/>
    </w:pPr>
  </w:style>
  <w:style w:type="character" w:customStyle="1" w:styleId="Heading1Char">
    <w:name w:val="Heading 1 Char"/>
    <w:basedOn w:val="DefaultParagraphFont"/>
    <w:link w:val="Heading1"/>
    <w:uiPriority w:val="9"/>
    <w:rsid w:val="001144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441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14410"/>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EC27AC"/>
    <w:rPr>
      <w:sz w:val="16"/>
      <w:szCs w:val="16"/>
    </w:rPr>
  </w:style>
  <w:style w:type="paragraph" w:styleId="CommentText">
    <w:name w:val="annotation text"/>
    <w:basedOn w:val="Normal"/>
    <w:link w:val="CommentTextChar"/>
    <w:uiPriority w:val="99"/>
    <w:semiHidden/>
    <w:unhideWhenUsed/>
    <w:rsid w:val="00EC27AC"/>
    <w:pPr>
      <w:spacing w:line="240" w:lineRule="auto"/>
    </w:pPr>
    <w:rPr>
      <w:sz w:val="20"/>
      <w:szCs w:val="20"/>
    </w:rPr>
  </w:style>
  <w:style w:type="character" w:customStyle="1" w:styleId="CommentTextChar">
    <w:name w:val="Comment Text Char"/>
    <w:basedOn w:val="DefaultParagraphFont"/>
    <w:link w:val="CommentText"/>
    <w:uiPriority w:val="99"/>
    <w:semiHidden/>
    <w:rsid w:val="00EC27AC"/>
    <w:rPr>
      <w:sz w:val="20"/>
      <w:szCs w:val="20"/>
    </w:rPr>
  </w:style>
  <w:style w:type="paragraph" w:styleId="CommentSubject">
    <w:name w:val="annotation subject"/>
    <w:basedOn w:val="CommentText"/>
    <w:next w:val="CommentText"/>
    <w:link w:val="CommentSubjectChar"/>
    <w:uiPriority w:val="99"/>
    <w:semiHidden/>
    <w:unhideWhenUsed/>
    <w:rsid w:val="00EC27AC"/>
    <w:rPr>
      <w:b/>
      <w:bCs/>
    </w:rPr>
  </w:style>
  <w:style w:type="character" w:customStyle="1" w:styleId="CommentSubjectChar">
    <w:name w:val="Comment Subject Char"/>
    <w:basedOn w:val="CommentTextChar"/>
    <w:link w:val="CommentSubject"/>
    <w:uiPriority w:val="99"/>
    <w:semiHidden/>
    <w:rsid w:val="00EC27AC"/>
    <w:rPr>
      <w:b/>
      <w:bCs/>
      <w:sz w:val="20"/>
      <w:szCs w:val="20"/>
    </w:rPr>
  </w:style>
  <w:style w:type="paragraph" w:styleId="BalloonText">
    <w:name w:val="Balloon Text"/>
    <w:basedOn w:val="Normal"/>
    <w:link w:val="BalloonTextChar"/>
    <w:uiPriority w:val="99"/>
    <w:semiHidden/>
    <w:unhideWhenUsed/>
    <w:rsid w:val="00EC2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7AC"/>
    <w:rPr>
      <w:rFonts w:ascii="Segoe UI" w:hAnsi="Segoe UI" w:cs="Segoe UI"/>
      <w:sz w:val="18"/>
      <w:szCs w:val="18"/>
    </w:rPr>
  </w:style>
  <w:style w:type="character" w:styleId="Hyperlink">
    <w:name w:val="Hyperlink"/>
    <w:basedOn w:val="DefaultParagraphFont"/>
    <w:uiPriority w:val="99"/>
    <w:unhideWhenUsed/>
    <w:rsid w:val="004852F5"/>
    <w:rPr>
      <w:color w:val="0563C1" w:themeColor="hyperlink"/>
      <w:u w:val="single"/>
    </w:rPr>
  </w:style>
  <w:style w:type="character" w:styleId="FollowedHyperlink">
    <w:name w:val="FollowedHyperlink"/>
    <w:basedOn w:val="DefaultParagraphFont"/>
    <w:uiPriority w:val="99"/>
    <w:semiHidden/>
    <w:unhideWhenUsed/>
    <w:rsid w:val="00C616D6"/>
    <w:rPr>
      <w:color w:val="954F72" w:themeColor="followedHyperlink"/>
      <w:u w:val="single"/>
    </w:rPr>
  </w:style>
  <w:style w:type="character" w:customStyle="1" w:styleId="UnresolvedMention1">
    <w:name w:val="Unresolved Mention1"/>
    <w:basedOn w:val="DefaultParagraphFont"/>
    <w:uiPriority w:val="99"/>
    <w:semiHidden/>
    <w:unhideWhenUsed/>
    <w:rsid w:val="00F82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692">
      <w:bodyDiv w:val="1"/>
      <w:marLeft w:val="0"/>
      <w:marRight w:val="0"/>
      <w:marTop w:val="0"/>
      <w:marBottom w:val="0"/>
      <w:divBdr>
        <w:top w:val="none" w:sz="0" w:space="0" w:color="auto"/>
        <w:left w:val="none" w:sz="0" w:space="0" w:color="auto"/>
        <w:bottom w:val="none" w:sz="0" w:space="0" w:color="auto"/>
        <w:right w:val="none" w:sz="0" w:space="0" w:color="auto"/>
      </w:divBdr>
    </w:div>
    <w:div w:id="143621900">
      <w:bodyDiv w:val="1"/>
      <w:marLeft w:val="0"/>
      <w:marRight w:val="0"/>
      <w:marTop w:val="0"/>
      <w:marBottom w:val="0"/>
      <w:divBdr>
        <w:top w:val="none" w:sz="0" w:space="0" w:color="auto"/>
        <w:left w:val="none" w:sz="0" w:space="0" w:color="auto"/>
        <w:bottom w:val="none" w:sz="0" w:space="0" w:color="auto"/>
        <w:right w:val="none" w:sz="0" w:space="0" w:color="auto"/>
      </w:divBdr>
    </w:div>
    <w:div w:id="290788211">
      <w:bodyDiv w:val="1"/>
      <w:marLeft w:val="0"/>
      <w:marRight w:val="0"/>
      <w:marTop w:val="0"/>
      <w:marBottom w:val="0"/>
      <w:divBdr>
        <w:top w:val="none" w:sz="0" w:space="0" w:color="auto"/>
        <w:left w:val="none" w:sz="0" w:space="0" w:color="auto"/>
        <w:bottom w:val="none" w:sz="0" w:space="0" w:color="auto"/>
        <w:right w:val="none" w:sz="0" w:space="0" w:color="auto"/>
      </w:divBdr>
    </w:div>
    <w:div w:id="513568214">
      <w:bodyDiv w:val="1"/>
      <w:marLeft w:val="0"/>
      <w:marRight w:val="0"/>
      <w:marTop w:val="0"/>
      <w:marBottom w:val="0"/>
      <w:divBdr>
        <w:top w:val="none" w:sz="0" w:space="0" w:color="auto"/>
        <w:left w:val="none" w:sz="0" w:space="0" w:color="auto"/>
        <w:bottom w:val="none" w:sz="0" w:space="0" w:color="auto"/>
        <w:right w:val="none" w:sz="0" w:space="0" w:color="auto"/>
      </w:divBdr>
    </w:div>
    <w:div w:id="542327437">
      <w:bodyDiv w:val="1"/>
      <w:marLeft w:val="0"/>
      <w:marRight w:val="0"/>
      <w:marTop w:val="0"/>
      <w:marBottom w:val="0"/>
      <w:divBdr>
        <w:top w:val="none" w:sz="0" w:space="0" w:color="auto"/>
        <w:left w:val="none" w:sz="0" w:space="0" w:color="auto"/>
        <w:bottom w:val="none" w:sz="0" w:space="0" w:color="auto"/>
        <w:right w:val="none" w:sz="0" w:space="0" w:color="auto"/>
      </w:divBdr>
    </w:div>
    <w:div w:id="709037643">
      <w:bodyDiv w:val="1"/>
      <w:marLeft w:val="0"/>
      <w:marRight w:val="0"/>
      <w:marTop w:val="0"/>
      <w:marBottom w:val="0"/>
      <w:divBdr>
        <w:top w:val="none" w:sz="0" w:space="0" w:color="auto"/>
        <w:left w:val="none" w:sz="0" w:space="0" w:color="auto"/>
        <w:bottom w:val="none" w:sz="0" w:space="0" w:color="auto"/>
        <w:right w:val="none" w:sz="0" w:space="0" w:color="auto"/>
      </w:divBdr>
    </w:div>
    <w:div w:id="746999562">
      <w:bodyDiv w:val="1"/>
      <w:marLeft w:val="0"/>
      <w:marRight w:val="0"/>
      <w:marTop w:val="0"/>
      <w:marBottom w:val="0"/>
      <w:divBdr>
        <w:top w:val="none" w:sz="0" w:space="0" w:color="auto"/>
        <w:left w:val="none" w:sz="0" w:space="0" w:color="auto"/>
        <w:bottom w:val="none" w:sz="0" w:space="0" w:color="auto"/>
        <w:right w:val="none" w:sz="0" w:space="0" w:color="auto"/>
      </w:divBdr>
    </w:div>
    <w:div w:id="751121833">
      <w:bodyDiv w:val="1"/>
      <w:marLeft w:val="0"/>
      <w:marRight w:val="0"/>
      <w:marTop w:val="0"/>
      <w:marBottom w:val="0"/>
      <w:divBdr>
        <w:top w:val="none" w:sz="0" w:space="0" w:color="auto"/>
        <w:left w:val="none" w:sz="0" w:space="0" w:color="auto"/>
        <w:bottom w:val="none" w:sz="0" w:space="0" w:color="auto"/>
        <w:right w:val="none" w:sz="0" w:space="0" w:color="auto"/>
      </w:divBdr>
    </w:div>
    <w:div w:id="856694747">
      <w:bodyDiv w:val="1"/>
      <w:marLeft w:val="0"/>
      <w:marRight w:val="0"/>
      <w:marTop w:val="0"/>
      <w:marBottom w:val="0"/>
      <w:divBdr>
        <w:top w:val="none" w:sz="0" w:space="0" w:color="auto"/>
        <w:left w:val="none" w:sz="0" w:space="0" w:color="auto"/>
        <w:bottom w:val="none" w:sz="0" w:space="0" w:color="auto"/>
        <w:right w:val="none" w:sz="0" w:space="0" w:color="auto"/>
      </w:divBdr>
    </w:div>
    <w:div w:id="1074595164">
      <w:bodyDiv w:val="1"/>
      <w:marLeft w:val="0"/>
      <w:marRight w:val="0"/>
      <w:marTop w:val="0"/>
      <w:marBottom w:val="0"/>
      <w:divBdr>
        <w:top w:val="none" w:sz="0" w:space="0" w:color="auto"/>
        <w:left w:val="none" w:sz="0" w:space="0" w:color="auto"/>
        <w:bottom w:val="none" w:sz="0" w:space="0" w:color="auto"/>
        <w:right w:val="none" w:sz="0" w:space="0" w:color="auto"/>
      </w:divBdr>
    </w:div>
    <w:div w:id="1104686154">
      <w:bodyDiv w:val="1"/>
      <w:marLeft w:val="0"/>
      <w:marRight w:val="0"/>
      <w:marTop w:val="0"/>
      <w:marBottom w:val="0"/>
      <w:divBdr>
        <w:top w:val="none" w:sz="0" w:space="0" w:color="auto"/>
        <w:left w:val="none" w:sz="0" w:space="0" w:color="auto"/>
        <w:bottom w:val="none" w:sz="0" w:space="0" w:color="auto"/>
        <w:right w:val="none" w:sz="0" w:space="0" w:color="auto"/>
      </w:divBdr>
    </w:div>
    <w:div w:id="1124233043">
      <w:bodyDiv w:val="1"/>
      <w:marLeft w:val="0"/>
      <w:marRight w:val="0"/>
      <w:marTop w:val="0"/>
      <w:marBottom w:val="0"/>
      <w:divBdr>
        <w:top w:val="none" w:sz="0" w:space="0" w:color="auto"/>
        <w:left w:val="none" w:sz="0" w:space="0" w:color="auto"/>
        <w:bottom w:val="none" w:sz="0" w:space="0" w:color="auto"/>
        <w:right w:val="none" w:sz="0" w:space="0" w:color="auto"/>
      </w:divBdr>
    </w:div>
    <w:div w:id="1146776486">
      <w:bodyDiv w:val="1"/>
      <w:marLeft w:val="0"/>
      <w:marRight w:val="0"/>
      <w:marTop w:val="0"/>
      <w:marBottom w:val="0"/>
      <w:divBdr>
        <w:top w:val="none" w:sz="0" w:space="0" w:color="auto"/>
        <w:left w:val="none" w:sz="0" w:space="0" w:color="auto"/>
        <w:bottom w:val="none" w:sz="0" w:space="0" w:color="auto"/>
        <w:right w:val="none" w:sz="0" w:space="0" w:color="auto"/>
      </w:divBdr>
    </w:div>
    <w:div w:id="1437365158">
      <w:bodyDiv w:val="1"/>
      <w:marLeft w:val="0"/>
      <w:marRight w:val="0"/>
      <w:marTop w:val="0"/>
      <w:marBottom w:val="0"/>
      <w:divBdr>
        <w:top w:val="none" w:sz="0" w:space="0" w:color="auto"/>
        <w:left w:val="none" w:sz="0" w:space="0" w:color="auto"/>
        <w:bottom w:val="none" w:sz="0" w:space="0" w:color="auto"/>
        <w:right w:val="none" w:sz="0" w:space="0" w:color="auto"/>
      </w:divBdr>
    </w:div>
    <w:div w:id="1440416886">
      <w:bodyDiv w:val="1"/>
      <w:marLeft w:val="0"/>
      <w:marRight w:val="0"/>
      <w:marTop w:val="0"/>
      <w:marBottom w:val="0"/>
      <w:divBdr>
        <w:top w:val="none" w:sz="0" w:space="0" w:color="auto"/>
        <w:left w:val="none" w:sz="0" w:space="0" w:color="auto"/>
        <w:bottom w:val="none" w:sz="0" w:space="0" w:color="auto"/>
        <w:right w:val="none" w:sz="0" w:space="0" w:color="auto"/>
      </w:divBdr>
    </w:div>
    <w:div w:id="1552110923">
      <w:bodyDiv w:val="1"/>
      <w:marLeft w:val="0"/>
      <w:marRight w:val="0"/>
      <w:marTop w:val="0"/>
      <w:marBottom w:val="0"/>
      <w:divBdr>
        <w:top w:val="none" w:sz="0" w:space="0" w:color="auto"/>
        <w:left w:val="none" w:sz="0" w:space="0" w:color="auto"/>
        <w:bottom w:val="none" w:sz="0" w:space="0" w:color="auto"/>
        <w:right w:val="none" w:sz="0" w:space="0" w:color="auto"/>
      </w:divBdr>
    </w:div>
    <w:div w:id="1574196132">
      <w:bodyDiv w:val="1"/>
      <w:marLeft w:val="0"/>
      <w:marRight w:val="0"/>
      <w:marTop w:val="0"/>
      <w:marBottom w:val="0"/>
      <w:divBdr>
        <w:top w:val="none" w:sz="0" w:space="0" w:color="auto"/>
        <w:left w:val="none" w:sz="0" w:space="0" w:color="auto"/>
        <w:bottom w:val="none" w:sz="0" w:space="0" w:color="auto"/>
        <w:right w:val="none" w:sz="0" w:space="0" w:color="auto"/>
      </w:divBdr>
    </w:div>
    <w:div w:id="1767578065">
      <w:bodyDiv w:val="1"/>
      <w:marLeft w:val="0"/>
      <w:marRight w:val="0"/>
      <w:marTop w:val="0"/>
      <w:marBottom w:val="0"/>
      <w:divBdr>
        <w:top w:val="none" w:sz="0" w:space="0" w:color="auto"/>
        <w:left w:val="none" w:sz="0" w:space="0" w:color="auto"/>
        <w:bottom w:val="none" w:sz="0" w:space="0" w:color="auto"/>
        <w:right w:val="none" w:sz="0" w:space="0" w:color="auto"/>
      </w:divBdr>
    </w:div>
    <w:div w:id="19017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kc.edu/chancellor/initiatives/racc/" TargetMode="External"/><Relationship Id="rId13" Type="http://schemas.openxmlformats.org/officeDocument/2006/relationships/hyperlink" Target="https://www.insidehighered.com/advice/2018/07/19/advice-deans-department-heads-and-search-committees-recruiting-diverse-faculty" TargetMode="External"/><Relationship Id="rId3" Type="http://schemas.openxmlformats.org/officeDocument/2006/relationships/settings" Target="settings.xml"/><Relationship Id="rId7" Type="http://schemas.openxmlformats.org/officeDocument/2006/relationships/hyperlink" Target="https://www.umkc.edu/about/strategic-plan.html" TargetMode="External"/><Relationship Id="rId12" Type="http://schemas.openxmlformats.org/officeDocument/2006/relationships/hyperlink" Target="https://www.apa.org/pi/oema/resources/brochures/how-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a.org/pi/oema/resources/brochures/how-to" TargetMode="External"/><Relationship Id="rId11" Type="http://schemas.openxmlformats.org/officeDocument/2006/relationships/hyperlink" Target="https://cft.vanderbilt.edu/guides-sub-pages/developing-and-writing-a-diversity-statement/" TargetMode="External"/><Relationship Id="rId5" Type="http://schemas.openxmlformats.org/officeDocument/2006/relationships/hyperlink" Target="https://www.umkc.edu/chancellor/initiatives/racc/" TargetMode="External"/><Relationship Id="rId15" Type="http://schemas.openxmlformats.org/officeDocument/2006/relationships/theme" Target="theme/theme1.xml"/><Relationship Id="rId10" Type="http://schemas.openxmlformats.org/officeDocument/2006/relationships/hyperlink" Target="https://www.insidehighered.com/news/2018/11/19/new-paper-explores-what-faculty-candidates-include-their-diversity-equity-and" TargetMode="External"/><Relationship Id="rId4" Type="http://schemas.openxmlformats.org/officeDocument/2006/relationships/webSettings" Target="webSettings.xml"/><Relationship Id="rId9" Type="http://schemas.openxmlformats.org/officeDocument/2006/relationships/hyperlink" Target="https://academicaffairs.ucdavis.edu/statements_of_contributions_to_DE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Lundgren, Jennifer</dc:creator>
  <cp:keywords/>
  <dc:description/>
  <cp:lastModifiedBy>Lundgren, Jennifer</cp:lastModifiedBy>
  <cp:revision>2</cp:revision>
  <dcterms:created xsi:type="dcterms:W3CDTF">2020-12-15T21:05:00Z</dcterms:created>
  <dcterms:modified xsi:type="dcterms:W3CDTF">2020-12-15T21:05:00Z</dcterms:modified>
</cp:coreProperties>
</file>