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FE32C" w14:textId="67AB2BD0" w:rsidR="00CE58F3" w:rsidRPr="00CE58F3" w:rsidRDefault="00E7561A" w:rsidP="00CE58F3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720086" w:rsidRPr="00CE58F3">
        <w:rPr>
          <w:sz w:val="24"/>
          <w:szCs w:val="24"/>
        </w:rPr>
        <w:t xml:space="preserve"> </w:t>
      </w:r>
      <w:r w:rsidR="00720086" w:rsidRPr="00E7561A">
        <w:rPr>
          <w:b/>
          <w:sz w:val="24"/>
          <w:szCs w:val="24"/>
        </w:rPr>
        <w:t>University of Missouri System</w:t>
      </w:r>
      <w:r w:rsidR="00720086" w:rsidRPr="00CE58F3">
        <w:rPr>
          <w:sz w:val="24"/>
          <w:szCs w:val="24"/>
        </w:rPr>
        <w:t xml:space="preserve"> </w:t>
      </w:r>
      <w:r w:rsidR="00901ABA">
        <w:rPr>
          <w:sz w:val="24"/>
          <w:szCs w:val="24"/>
        </w:rPr>
        <w:t>bond rating is</w:t>
      </w:r>
      <w:r w:rsidR="00CE58F3" w:rsidRPr="00CE58F3">
        <w:rPr>
          <w:sz w:val="24"/>
          <w:szCs w:val="24"/>
        </w:rPr>
        <w:t xml:space="preserve"> in the </w:t>
      </w:r>
      <w:r w:rsidR="00CE58F3" w:rsidRPr="00E7561A">
        <w:rPr>
          <w:b/>
          <w:sz w:val="24"/>
          <w:szCs w:val="24"/>
          <w:u w:val="single"/>
        </w:rPr>
        <w:t>TOP</w:t>
      </w:r>
      <w:r w:rsidR="00720086" w:rsidRPr="00E7561A">
        <w:rPr>
          <w:b/>
          <w:sz w:val="24"/>
          <w:szCs w:val="24"/>
          <w:u w:val="single"/>
        </w:rPr>
        <w:t xml:space="preserve"> 10%</w:t>
      </w:r>
      <w:r w:rsidR="00720086" w:rsidRPr="00CE58F3">
        <w:rPr>
          <w:sz w:val="24"/>
          <w:szCs w:val="24"/>
        </w:rPr>
        <w:t xml:space="preserve"> of higher education institutions </w:t>
      </w:r>
      <w:r w:rsidR="00CE58F3" w:rsidRPr="00CE58F3">
        <w:rPr>
          <w:sz w:val="24"/>
          <w:szCs w:val="24"/>
        </w:rPr>
        <w:t xml:space="preserve">as rated by Standard and Poor’s.  </w:t>
      </w:r>
      <w:r w:rsidR="00CE58F3" w:rsidRPr="00E7561A">
        <w:rPr>
          <w:i/>
          <w:sz w:val="24"/>
          <w:szCs w:val="24"/>
          <w:u w:val="single"/>
        </w:rPr>
        <w:t xml:space="preserve">Without the </w:t>
      </w:r>
      <w:r w:rsidR="00484869" w:rsidRPr="00E7561A">
        <w:rPr>
          <w:i/>
          <w:sz w:val="24"/>
          <w:szCs w:val="24"/>
          <w:u w:val="single"/>
        </w:rPr>
        <w:t xml:space="preserve">combined strength of the </w:t>
      </w:r>
      <w:r w:rsidR="00CE58F3" w:rsidRPr="00E7561A">
        <w:rPr>
          <w:i/>
          <w:sz w:val="24"/>
          <w:szCs w:val="24"/>
          <w:u w:val="single"/>
        </w:rPr>
        <w:t>System</w:t>
      </w:r>
      <w:r w:rsidR="00CE58F3" w:rsidRPr="00CE58F3">
        <w:rPr>
          <w:sz w:val="24"/>
          <w:szCs w:val="24"/>
        </w:rPr>
        <w:t xml:space="preserve">, </w:t>
      </w:r>
      <w:r w:rsidR="00901ABA">
        <w:rPr>
          <w:b/>
          <w:sz w:val="24"/>
          <w:szCs w:val="24"/>
        </w:rPr>
        <w:t>three</w:t>
      </w:r>
      <w:r w:rsidR="00CE58F3" w:rsidRPr="00E7561A">
        <w:rPr>
          <w:b/>
          <w:sz w:val="24"/>
          <w:szCs w:val="24"/>
        </w:rPr>
        <w:t xml:space="preserve"> of</w:t>
      </w:r>
      <w:r w:rsidR="00CE58F3" w:rsidRPr="00CE58F3">
        <w:rPr>
          <w:sz w:val="24"/>
          <w:szCs w:val="24"/>
        </w:rPr>
        <w:t xml:space="preserve"> the System’s </w:t>
      </w:r>
      <w:r w:rsidR="00901ABA">
        <w:rPr>
          <w:b/>
          <w:sz w:val="24"/>
          <w:szCs w:val="24"/>
        </w:rPr>
        <w:t>Universities</w:t>
      </w:r>
      <w:r w:rsidR="00CE58F3" w:rsidRPr="00CE58F3">
        <w:rPr>
          <w:sz w:val="24"/>
          <w:szCs w:val="24"/>
        </w:rPr>
        <w:t xml:space="preserve"> would </w:t>
      </w:r>
      <w:r w:rsidR="00901ABA">
        <w:rPr>
          <w:sz w:val="24"/>
          <w:szCs w:val="24"/>
        </w:rPr>
        <w:t>be rated</w:t>
      </w:r>
      <w:r w:rsidR="00CE58F3" w:rsidRPr="00CE58F3">
        <w:rPr>
          <w:sz w:val="24"/>
          <w:szCs w:val="24"/>
        </w:rPr>
        <w:t xml:space="preserve"> </w:t>
      </w:r>
      <w:r w:rsidR="00CE58F3" w:rsidRPr="00E7561A">
        <w:rPr>
          <w:b/>
          <w:sz w:val="24"/>
          <w:szCs w:val="24"/>
          <w:u w:val="single"/>
        </w:rPr>
        <w:t>in the LOWEST 20%</w:t>
      </w:r>
      <w:r w:rsidR="00CE58F3" w:rsidRPr="00CE58F3">
        <w:rPr>
          <w:sz w:val="24"/>
          <w:szCs w:val="24"/>
        </w:rPr>
        <w:t xml:space="preserve"> of higher education institutions.</w:t>
      </w:r>
    </w:p>
    <w:p w14:paraId="213AC4EF" w14:textId="77777777" w:rsidR="00C7530B" w:rsidRDefault="00C7530B">
      <w:r>
        <w:rPr>
          <w:noProof/>
        </w:rPr>
        <w:drawing>
          <wp:inline distT="0" distB="0" distL="0" distR="0" wp14:anchorId="4D517E58" wp14:editId="1ED3D3D9">
            <wp:extent cx="5943600" cy="33813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6A1D645" w14:textId="0724E34C" w:rsidR="00720086" w:rsidRPr="00600348" w:rsidRDefault="003B708F" w:rsidP="00720086">
      <w:pPr>
        <w:rPr>
          <w:b/>
        </w:rPr>
      </w:pPr>
      <w:r w:rsidRPr="00600348">
        <w:rPr>
          <w:b/>
          <w:sz w:val="24"/>
          <w:szCs w:val="24"/>
        </w:rPr>
        <w:t>It is estimated that our</w:t>
      </w:r>
      <w:r w:rsidR="00720086" w:rsidRPr="00600348">
        <w:rPr>
          <w:b/>
          <w:sz w:val="24"/>
          <w:szCs w:val="24"/>
        </w:rPr>
        <w:t xml:space="preserve"> four </w:t>
      </w:r>
      <w:r w:rsidR="00901ABA" w:rsidRPr="00600348">
        <w:rPr>
          <w:b/>
          <w:sz w:val="24"/>
          <w:szCs w:val="24"/>
        </w:rPr>
        <w:t xml:space="preserve">universities </w:t>
      </w:r>
      <w:r w:rsidR="00720086" w:rsidRPr="00600348">
        <w:rPr>
          <w:b/>
          <w:sz w:val="24"/>
          <w:szCs w:val="24"/>
        </w:rPr>
        <w:t xml:space="preserve">and health system </w:t>
      </w:r>
      <w:r w:rsidR="00720086" w:rsidRPr="00600348">
        <w:rPr>
          <w:b/>
          <w:i/>
          <w:sz w:val="24"/>
          <w:szCs w:val="24"/>
        </w:rPr>
        <w:t>save</w:t>
      </w:r>
      <w:r w:rsidRPr="00600348">
        <w:rPr>
          <w:b/>
          <w:i/>
          <w:sz w:val="24"/>
          <w:szCs w:val="24"/>
        </w:rPr>
        <w:t xml:space="preserve"> at least</w:t>
      </w:r>
      <w:r w:rsidR="00720086" w:rsidRPr="00600348">
        <w:rPr>
          <w:b/>
          <w:i/>
          <w:sz w:val="24"/>
          <w:szCs w:val="24"/>
        </w:rPr>
        <w:t xml:space="preserve"> $2.5 million per year on interest</w:t>
      </w:r>
      <w:r w:rsidR="00D52EC1" w:rsidRPr="00600348">
        <w:rPr>
          <w:b/>
          <w:sz w:val="24"/>
          <w:szCs w:val="24"/>
        </w:rPr>
        <w:t xml:space="preserve"> </w:t>
      </w:r>
      <w:r w:rsidRPr="00600348">
        <w:rPr>
          <w:b/>
          <w:sz w:val="24"/>
          <w:szCs w:val="24"/>
        </w:rPr>
        <w:t xml:space="preserve">payment </w:t>
      </w:r>
      <w:r w:rsidR="00D52EC1" w:rsidRPr="00600348">
        <w:rPr>
          <w:b/>
          <w:sz w:val="24"/>
          <w:szCs w:val="24"/>
        </w:rPr>
        <w:t xml:space="preserve">as a result of the combined strength </w:t>
      </w:r>
      <w:r w:rsidR="004254BD" w:rsidRPr="00600348">
        <w:rPr>
          <w:b/>
          <w:sz w:val="24"/>
          <w:szCs w:val="24"/>
        </w:rPr>
        <w:t>of the System’s credit rating</w:t>
      </w:r>
      <w:r w:rsidR="00720086" w:rsidRPr="00600348">
        <w:rPr>
          <w:b/>
          <w:sz w:val="24"/>
          <w:szCs w:val="24"/>
        </w:rPr>
        <w:t>.</w:t>
      </w:r>
    </w:p>
    <w:bookmarkStart w:id="0" w:name="_MON_1516431594"/>
    <w:bookmarkEnd w:id="0"/>
    <w:p w14:paraId="69A5FFE9" w14:textId="7743BBBE" w:rsidR="00720086" w:rsidRDefault="00A936B3">
      <w:r>
        <w:object w:dxaOrig="11259" w:dyaOrig="4857" w14:anchorId="351B05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01.45pt" o:ole="">
            <v:imagedata r:id="rId8" o:title=""/>
          </v:shape>
          <o:OLEObject Type="Embed" ProgID="Excel.Sheet.12" ShapeID="_x0000_i1025" DrawAspect="Content" ObjectID="_1516610055" r:id="rId9"/>
        </w:object>
      </w:r>
    </w:p>
    <w:p w14:paraId="3AAF3B19" w14:textId="77777777" w:rsidR="00A936B3" w:rsidRPr="00A936B3" w:rsidRDefault="00A936B3" w:rsidP="00A936B3">
      <w:pPr>
        <w:spacing w:after="0" w:line="240" w:lineRule="auto"/>
        <w:rPr>
          <w:b/>
          <w:sz w:val="16"/>
          <w:szCs w:val="24"/>
        </w:rPr>
      </w:pPr>
      <w:bookmarkStart w:id="1" w:name="_GoBack"/>
      <w:bookmarkEnd w:id="1"/>
    </w:p>
    <w:p w14:paraId="20578E99" w14:textId="77777777" w:rsidR="00686FEB" w:rsidRPr="00654A56" w:rsidRDefault="00686FEB" w:rsidP="00686FEB">
      <w:pPr>
        <w:rPr>
          <w:b/>
          <w:sz w:val="24"/>
          <w:szCs w:val="24"/>
        </w:rPr>
      </w:pPr>
      <w:r w:rsidRPr="00654A56">
        <w:rPr>
          <w:b/>
          <w:sz w:val="24"/>
          <w:szCs w:val="24"/>
        </w:rPr>
        <w:lastRenderedPageBreak/>
        <w:t>Benefits of Current Debt Structure:</w:t>
      </w:r>
    </w:p>
    <w:p w14:paraId="5A064E36" w14:textId="6650E0FF" w:rsidR="00686FEB" w:rsidRPr="00A936B3" w:rsidRDefault="00686FEB" w:rsidP="00686FEB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654A56">
        <w:rPr>
          <w:b/>
          <w:sz w:val="24"/>
          <w:szCs w:val="24"/>
        </w:rPr>
        <w:t xml:space="preserve">Strength through size and diversification: </w:t>
      </w:r>
      <w:r w:rsidRPr="00654A56">
        <w:rPr>
          <w:sz w:val="24"/>
          <w:szCs w:val="24"/>
        </w:rPr>
        <w:t xml:space="preserve">all debt is cross-collateralized across </w:t>
      </w:r>
      <w:r w:rsidR="00901ABA">
        <w:rPr>
          <w:sz w:val="24"/>
          <w:szCs w:val="24"/>
        </w:rPr>
        <w:t xml:space="preserve">the four universities </w:t>
      </w:r>
      <w:r w:rsidRPr="00654A56">
        <w:rPr>
          <w:sz w:val="24"/>
          <w:szCs w:val="24"/>
        </w:rPr>
        <w:t xml:space="preserve">and the health system.  </w:t>
      </w:r>
      <w:r w:rsidR="004254BD" w:rsidRPr="00A936B3">
        <w:rPr>
          <w:sz w:val="24"/>
          <w:szCs w:val="24"/>
          <w:u w:val="single"/>
        </w:rPr>
        <w:t>The resulting</w:t>
      </w:r>
      <w:r w:rsidR="00066CFF" w:rsidRPr="00A936B3">
        <w:rPr>
          <w:sz w:val="24"/>
          <w:szCs w:val="24"/>
          <w:u w:val="single"/>
        </w:rPr>
        <w:t xml:space="preserve"> </w:t>
      </w:r>
      <w:r w:rsidR="00E54426" w:rsidRPr="00A936B3">
        <w:rPr>
          <w:sz w:val="24"/>
          <w:szCs w:val="24"/>
          <w:u w:val="single"/>
        </w:rPr>
        <w:t xml:space="preserve">size and </w:t>
      </w:r>
      <w:r w:rsidR="00066CFF" w:rsidRPr="00A936B3">
        <w:rPr>
          <w:sz w:val="24"/>
          <w:szCs w:val="24"/>
          <w:u w:val="single"/>
        </w:rPr>
        <w:t>divers</w:t>
      </w:r>
      <w:r w:rsidR="00E54426" w:rsidRPr="00A936B3">
        <w:rPr>
          <w:sz w:val="24"/>
          <w:szCs w:val="24"/>
          <w:u w:val="single"/>
        </w:rPr>
        <w:t xml:space="preserve">ification of </w:t>
      </w:r>
      <w:r w:rsidR="00F6395E" w:rsidRPr="00A936B3">
        <w:rPr>
          <w:sz w:val="24"/>
          <w:szCs w:val="24"/>
          <w:u w:val="single"/>
        </w:rPr>
        <w:t>revenue streams</w:t>
      </w:r>
      <w:r w:rsidR="00E54426" w:rsidRPr="00A936B3">
        <w:rPr>
          <w:sz w:val="24"/>
          <w:szCs w:val="24"/>
          <w:u w:val="single"/>
        </w:rPr>
        <w:t xml:space="preserve"> is key to</w:t>
      </w:r>
      <w:r w:rsidR="00E7561A" w:rsidRPr="00A936B3">
        <w:rPr>
          <w:sz w:val="24"/>
          <w:szCs w:val="24"/>
          <w:u w:val="single"/>
        </w:rPr>
        <w:t xml:space="preserve"> investors in the System’s debt</w:t>
      </w:r>
      <w:r w:rsidR="00F6395E" w:rsidRPr="00A936B3">
        <w:rPr>
          <w:sz w:val="24"/>
          <w:szCs w:val="24"/>
          <w:u w:val="single"/>
        </w:rPr>
        <w:t>.</w:t>
      </w:r>
    </w:p>
    <w:p w14:paraId="3EF34429" w14:textId="097077C3" w:rsidR="00F6395E" w:rsidRPr="00654A56" w:rsidRDefault="00F6395E" w:rsidP="00686FE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54A56">
        <w:rPr>
          <w:b/>
          <w:sz w:val="24"/>
          <w:szCs w:val="24"/>
        </w:rPr>
        <w:t xml:space="preserve">Access to Investors: </w:t>
      </w:r>
      <w:r w:rsidRPr="00654A56">
        <w:rPr>
          <w:sz w:val="24"/>
          <w:szCs w:val="24"/>
        </w:rPr>
        <w:t xml:space="preserve"> due to the size and stability of the campuses in total, financing can be delivered on an as-needed basis, saving significant interest expense to the campuses</w:t>
      </w:r>
      <w:r w:rsidR="00A936B3">
        <w:rPr>
          <w:sz w:val="24"/>
          <w:szCs w:val="24"/>
        </w:rPr>
        <w:t xml:space="preserve"> and health system</w:t>
      </w:r>
      <w:r w:rsidRPr="00654A56">
        <w:rPr>
          <w:sz w:val="24"/>
          <w:szCs w:val="24"/>
        </w:rPr>
        <w:t>.</w:t>
      </w:r>
    </w:p>
    <w:p w14:paraId="158AAADE" w14:textId="59400E46" w:rsidR="00F6395E" w:rsidRPr="00654A56" w:rsidRDefault="00F6395E" w:rsidP="00686FE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54A56">
        <w:rPr>
          <w:b/>
          <w:sz w:val="24"/>
          <w:szCs w:val="24"/>
        </w:rPr>
        <w:t xml:space="preserve">Lower cost of issuance: </w:t>
      </w:r>
      <w:r w:rsidRPr="00654A56">
        <w:rPr>
          <w:sz w:val="24"/>
          <w:szCs w:val="24"/>
        </w:rPr>
        <w:t xml:space="preserve"> through centralized administration and </w:t>
      </w:r>
      <w:r w:rsidR="00A936B3">
        <w:rPr>
          <w:sz w:val="24"/>
          <w:szCs w:val="24"/>
        </w:rPr>
        <w:t>knowledgeable</w:t>
      </w:r>
      <w:r w:rsidRPr="00654A56">
        <w:rPr>
          <w:sz w:val="24"/>
          <w:szCs w:val="24"/>
        </w:rPr>
        <w:t xml:space="preserve"> internal staff, bond counsel, and investment banking relationships, the system leverages the collective size to decrease the costs of issuance per dollar of debt issued.</w:t>
      </w:r>
    </w:p>
    <w:p w14:paraId="03C9D58D" w14:textId="190242BA" w:rsidR="00654A56" w:rsidRPr="00654A56" w:rsidRDefault="00E44748" w:rsidP="00F6395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S&amp;P Expects continued s</w:t>
      </w:r>
      <w:r w:rsidR="00F6395E" w:rsidRPr="00654A56">
        <w:rPr>
          <w:b/>
          <w:sz w:val="24"/>
          <w:szCs w:val="24"/>
        </w:rPr>
        <w:t xml:space="preserve">upport from </w:t>
      </w:r>
      <w:r>
        <w:rPr>
          <w:b/>
          <w:sz w:val="24"/>
          <w:szCs w:val="24"/>
        </w:rPr>
        <w:t xml:space="preserve">the </w:t>
      </w:r>
      <w:r w:rsidR="00F6395E" w:rsidRPr="00654A56">
        <w:rPr>
          <w:b/>
          <w:sz w:val="24"/>
          <w:szCs w:val="24"/>
        </w:rPr>
        <w:t>State</w:t>
      </w:r>
      <w:r>
        <w:rPr>
          <w:b/>
          <w:sz w:val="24"/>
          <w:szCs w:val="24"/>
        </w:rPr>
        <w:t xml:space="preserve"> of Missouri</w:t>
      </w:r>
      <w:r w:rsidR="00F6395E" w:rsidRPr="00654A56">
        <w:rPr>
          <w:b/>
          <w:sz w:val="24"/>
          <w:szCs w:val="24"/>
        </w:rPr>
        <w:t xml:space="preserve">:  </w:t>
      </w:r>
    </w:p>
    <w:p w14:paraId="71123FF6" w14:textId="77777777" w:rsidR="00654A56" w:rsidRPr="00654A56" w:rsidRDefault="00654A56" w:rsidP="00F6395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42CB3FB" w14:textId="094360DD" w:rsidR="00F6395E" w:rsidRPr="00E44748" w:rsidRDefault="00F6395E" w:rsidP="00F6395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181818"/>
          <w:sz w:val="24"/>
          <w:szCs w:val="24"/>
        </w:rPr>
      </w:pPr>
      <w:r w:rsidRPr="00654A56">
        <w:rPr>
          <w:sz w:val="24"/>
          <w:szCs w:val="24"/>
        </w:rPr>
        <w:t>“</w:t>
      </w:r>
      <w:r w:rsidRPr="00654A56">
        <w:rPr>
          <w:rFonts w:cs="Times New Roman"/>
          <w:i/>
          <w:color w:val="181818"/>
          <w:sz w:val="24"/>
          <w:szCs w:val="24"/>
        </w:rPr>
        <w:t>State operating appropriations remain an important component of UM's operating revenue</w:t>
      </w:r>
      <w:r w:rsidRPr="00654A56">
        <w:rPr>
          <w:rFonts w:cs="Times New Roman"/>
          <w:color w:val="353535"/>
          <w:sz w:val="24"/>
          <w:szCs w:val="24"/>
        </w:rPr>
        <w:t xml:space="preserve">, </w:t>
      </w:r>
      <w:r w:rsidRPr="00654A56">
        <w:rPr>
          <w:rFonts w:cs="Times New Roman"/>
          <w:color w:val="181818"/>
          <w:sz w:val="24"/>
          <w:szCs w:val="24"/>
        </w:rPr>
        <w:t>comprising nearly 14% of the consolidated total in 2015</w:t>
      </w:r>
      <w:r w:rsidRPr="00654A56">
        <w:rPr>
          <w:rFonts w:cs="Times New Roman"/>
          <w:color w:val="353535"/>
          <w:sz w:val="24"/>
          <w:szCs w:val="24"/>
        </w:rPr>
        <w:t xml:space="preserve">… </w:t>
      </w:r>
      <w:r w:rsidRPr="00654A56">
        <w:rPr>
          <w:rFonts w:cs="Times New Roman"/>
          <w:b/>
          <w:color w:val="181818"/>
          <w:sz w:val="24"/>
          <w:szCs w:val="24"/>
        </w:rPr>
        <w:t>We anticipate that the university will continue to experience stable support from the state</w:t>
      </w:r>
      <w:r w:rsidRPr="00654A56">
        <w:rPr>
          <w:rFonts w:cs="Times New Roman"/>
          <w:color w:val="181818"/>
          <w:sz w:val="24"/>
          <w:szCs w:val="24"/>
        </w:rPr>
        <w:t>.”</w:t>
      </w:r>
      <w:r w:rsidR="00E44748">
        <w:rPr>
          <w:rFonts w:cs="Times New Roman"/>
          <w:color w:val="181818"/>
          <w:sz w:val="24"/>
          <w:szCs w:val="24"/>
        </w:rPr>
        <w:t xml:space="preserve"> </w:t>
      </w:r>
      <w:r w:rsidR="00E44748">
        <w:rPr>
          <w:rFonts w:cs="Times New Roman"/>
          <w:i/>
          <w:color w:val="181818"/>
          <w:sz w:val="24"/>
          <w:szCs w:val="24"/>
        </w:rPr>
        <w:t>(S&amp;P Ratings Report, February 1, 2016, p.5)</w:t>
      </w:r>
    </w:p>
    <w:p w14:paraId="22018884" w14:textId="77777777" w:rsidR="00654A56" w:rsidRDefault="00654A56" w:rsidP="00F6395E">
      <w:pPr>
        <w:autoSpaceDE w:val="0"/>
        <w:autoSpaceDN w:val="0"/>
        <w:adjustRightInd w:val="0"/>
        <w:spacing w:after="0" w:line="240" w:lineRule="auto"/>
        <w:rPr>
          <w:rFonts w:cs="Times New Roman"/>
          <w:color w:val="181818"/>
          <w:sz w:val="24"/>
          <w:szCs w:val="24"/>
        </w:rPr>
      </w:pPr>
    </w:p>
    <w:p w14:paraId="2FDEEBBF" w14:textId="163353BD" w:rsidR="00654A56" w:rsidRDefault="004845FC" w:rsidP="00F639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181818"/>
          <w:sz w:val="24"/>
          <w:szCs w:val="24"/>
        </w:rPr>
      </w:pPr>
      <w:r>
        <w:rPr>
          <w:rFonts w:cs="Times New Roman"/>
          <w:b/>
          <w:color w:val="181818"/>
          <w:sz w:val="24"/>
          <w:szCs w:val="24"/>
        </w:rPr>
        <w:t xml:space="preserve">Any changes in System </w:t>
      </w:r>
      <w:r w:rsidR="00AF7784">
        <w:rPr>
          <w:rFonts w:cs="Times New Roman"/>
          <w:b/>
          <w:color w:val="181818"/>
          <w:sz w:val="24"/>
          <w:szCs w:val="24"/>
        </w:rPr>
        <w:t xml:space="preserve">legal or organizational </w:t>
      </w:r>
      <w:r>
        <w:rPr>
          <w:rFonts w:cs="Times New Roman"/>
          <w:b/>
          <w:color w:val="181818"/>
          <w:sz w:val="24"/>
          <w:szCs w:val="24"/>
        </w:rPr>
        <w:t xml:space="preserve">structure could have serious </w:t>
      </w:r>
      <w:r w:rsidR="00E56F8F">
        <w:rPr>
          <w:rFonts w:cs="Times New Roman"/>
          <w:b/>
          <w:color w:val="181818"/>
          <w:sz w:val="24"/>
          <w:szCs w:val="24"/>
        </w:rPr>
        <w:t>consequences</w:t>
      </w:r>
      <w:r w:rsidR="00654A56">
        <w:rPr>
          <w:rFonts w:cs="Times New Roman"/>
          <w:b/>
          <w:color w:val="181818"/>
          <w:sz w:val="24"/>
          <w:szCs w:val="24"/>
        </w:rPr>
        <w:t>:</w:t>
      </w:r>
    </w:p>
    <w:p w14:paraId="1606D648" w14:textId="4DB4E925" w:rsidR="00654A56" w:rsidRPr="00A936B3" w:rsidRDefault="00654A56" w:rsidP="00654A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181818"/>
          <w:sz w:val="24"/>
          <w:szCs w:val="24"/>
        </w:rPr>
      </w:pPr>
      <w:r w:rsidRPr="00A936B3">
        <w:rPr>
          <w:rFonts w:cs="Times New Roman"/>
          <w:b/>
          <w:i/>
          <w:color w:val="181818"/>
          <w:sz w:val="24"/>
          <w:szCs w:val="24"/>
        </w:rPr>
        <w:t xml:space="preserve">Default </w:t>
      </w:r>
      <w:r w:rsidR="00AF7784" w:rsidRPr="00A936B3">
        <w:rPr>
          <w:rFonts w:cs="Times New Roman"/>
          <w:i/>
          <w:color w:val="181818"/>
          <w:sz w:val="24"/>
          <w:szCs w:val="24"/>
        </w:rPr>
        <w:t>could</w:t>
      </w:r>
      <w:r w:rsidR="000D123B" w:rsidRPr="00A936B3">
        <w:rPr>
          <w:rFonts w:cs="Times New Roman"/>
          <w:i/>
          <w:color w:val="181818"/>
          <w:sz w:val="24"/>
          <w:szCs w:val="24"/>
        </w:rPr>
        <w:t xml:space="preserve"> be triggered</w:t>
      </w:r>
      <w:r w:rsidR="00AF7784" w:rsidRPr="00A936B3">
        <w:rPr>
          <w:rFonts w:cs="Times New Roman"/>
          <w:i/>
          <w:color w:val="181818"/>
          <w:sz w:val="24"/>
          <w:szCs w:val="24"/>
        </w:rPr>
        <w:t xml:space="preserve"> on outstanding debt requiring </w:t>
      </w:r>
      <w:r w:rsidR="000D123B" w:rsidRPr="00A936B3">
        <w:rPr>
          <w:rFonts w:cs="Times New Roman"/>
          <w:i/>
          <w:color w:val="181818"/>
          <w:sz w:val="24"/>
          <w:szCs w:val="24"/>
        </w:rPr>
        <w:t>immediate repayment</w:t>
      </w:r>
    </w:p>
    <w:p w14:paraId="1F573E1B" w14:textId="5AED5973" w:rsidR="00654A56" w:rsidRPr="00A936B3" w:rsidRDefault="00654A56" w:rsidP="00654A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181818"/>
          <w:sz w:val="24"/>
          <w:szCs w:val="24"/>
        </w:rPr>
      </w:pPr>
      <w:r w:rsidRPr="00A936B3">
        <w:rPr>
          <w:rFonts w:cs="Times New Roman"/>
          <w:b/>
          <w:i/>
          <w:color w:val="181818"/>
          <w:sz w:val="24"/>
          <w:szCs w:val="24"/>
        </w:rPr>
        <w:t>Lawsuits</w:t>
      </w:r>
      <w:r w:rsidR="00762157" w:rsidRPr="00A936B3">
        <w:rPr>
          <w:rFonts w:cs="Times New Roman"/>
          <w:i/>
          <w:color w:val="181818"/>
          <w:sz w:val="24"/>
          <w:szCs w:val="24"/>
        </w:rPr>
        <w:t xml:space="preserve"> possible as </w:t>
      </w:r>
      <w:r w:rsidRPr="00A936B3">
        <w:rPr>
          <w:rFonts w:cs="Times New Roman"/>
          <w:i/>
          <w:color w:val="181818"/>
          <w:sz w:val="24"/>
          <w:szCs w:val="24"/>
        </w:rPr>
        <w:t xml:space="preserve">current </w:t>
      </w:r>
      <w:r w:rsidR="00E35206" w:rsidRPr="00A936B3">
        <w:rPr>
          <w:rFonts w:cs="Times New Roman"/>
          <w:i/>
          <w:color w:val="181818"/>
          <w:sz w:val="24"/>
          <w:szCs w:val="24"/>
        </w:rPr>
        <w:t xml:space="preserve">investors </w:t>
      </w:r>
      <w:r w:rsidR="00E44748">
        <w:rPr>
          <w:rFonts w:cs="Times New Roman"/>
          <w:i/>
          <w:color w:val="181818"/>
          <w:sz w:val="24"/>
          <w:szCs w:val="24"/>
        </w:rPr>
        <w:t>that hold our</w:t>
      </w:r>
      <w:r w:rsidR="00E35206" w:rsidRPr="00A936B3">
        <w:rPr>
          <w:rFonts w:cs="Times New Roman"/>
          <w:i/>
          <w:color w:val="181818"/>
          <w:sz w:val="24"/>
          <w:szCs w:val="24"/>
        </w:rPr>
        <w:t xml:space="preserve"> debt seek to</w:t>
      </w:r>
      <w:r w:rsidR="000D123B" w:rsidRPr="00A936B3">
        <w:rPr>
          <w:rFonts w:cs="Times New Roman"/>
          <w:i/>
          <w:color w:val="181818"/>
          <w:sz w:val="24"/>
          <w:szCs w:val="24"/>
        </w:rPr>
        <w:t xml:space="preserve"> recoup </w:t>
      </w:r>
      <w:r w:rsidRPr="00A936B3">
        <w:rPr>
          <w:rFonts w:cs="Times New Roman"/>
          <w:i/>
          <w:color w:val="181818"/>
          <w:sz w:val="24"/>
          <w:szCs w:val="24"/>
        </w:rPr>
        <w:t>lost interest</w:t>
      </w:r>
    </w:p>
    <w:p w14:paraId="70F66341" w14:textId="455F8720" w:rsidR="00654A56" w:rsidRPr="00A936B3" w:rsidRDefault="00654A56" w:rsidP="00654A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181818"/>
          <w:sz w:val="24"/>
          <w:szCs w:val="24"/>
        </w:rPr>
      </w:pPr>
      <w:r w:rsidRPr="00A936B3">
        <w:rPr>
          <w:rFonts w:cs="Times New Roman"/>
          <w:b/>
          <w:i/>
          <w:color w:val="181818"/>
          <w:sz w:val="24"/>
          <w:szCs w:val="24"/>
        </w:rPr>
        <w:t>Transfer of defaulted debt</w:t>
      </w:r>
      <w:r w:rsidRPr="00A936B3">
        <w:rPr>
          <w:rFonts w:cs="Times New Roman"/>
          <w:i/>
          <w:color w:val="181818"/>
          <w:sz w:val="24"/>
          <w:szCs w:val="24"/>
        </w:rPr>
        <w:t xml:space="preserve"> responsibility to the state</w:t>
      </w:r>
      <w:r w:rsidR="00C75CF1" w:rsidRPr="00A936B3">
        <w:rPr>
          <w:rFonts w:cs="Times New Roman"/>
          <w:i/>
          <w:color w:val="181818"/>
          <w:sz w:val="24"/>
          <w:szCs w:val="24"/>
        </w:rPr>
        <w:t xml:space="preserve"> in </w:t>
      </w:r>
      <w:r w:rsidR="00E44748">
        <w:rPr>
          <w:rFonts w:cs="Times New Roman"/>
          <w:i/>
          <w:color w:val="181818"/>
          <w:sz w:val="24"/>
          <w:szCs w:val="24"/>
        </w:rPr>
        <w:t>one possible</w:t>
      </w:r>
      <w:r w:rsidR="00C75CF1" w:rsidRPr="00A936B3">
        <w:rPr>
          <w:rFonts w:cs="Times New Roman"/>
          <w:i/>
          <w:color w:val="181818"/>
          <w:sz w:val="24"/>
          <w:szCs w:val="24"/>
        </w:rPr>
        <w:t xml:space="preserve"> scenario</w:t>
      </w:r>
    </w:p>
    <w:p w14:paraId="374A9F76" w14:textId="6582475E" w:rsidR="00654A56" w:rsidRPr="00A936B3" w:rsidRDefault="00654A56" w:rsidP="00654A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181818"/>
          <w:sz w:val="24"/>
          <w:szCs w:val="24"/>
        </w:rPr>
      </w:pPr>
      <w:r w:rsidRPr="00A936B3">
        <w:rPr>
          <w:rFonts w:cs="Times New Roman"/>
          <w:b/>
          <w:i/>
          <w:color w:val="181818"/>
          <w:sz w:val="24"/>
          <w:szCs w:val="24"/>
        </w:rPr>
        <w:t>Decreased access</w:t>
      </w:r>
      <w:r w:rsidR="00977E03" w:rsidRPr="00A936B3">
        <w:rPr>
          <w:rFonts w:cs="Times New Roman"/>
          <w:b/>
          <w:i/>
          <w:color w:val="181818"/>
          <w:sz w:val="24"/>
          <w:szCs w:val="24"/>
        </w:rPr>
        <w:t xml:space="preserve"> </w:t>
      </w:r>
      <w:r w:rsidR="00977E03" w:rsidRPr="00A936B3">
        <w:rPr>
          <w:rFonts w:cs="Times New Roman"/>
          <w:i/>
          <w:color w:val="181818"/>
          <w:sz w:val="24"/>
          <w:szCs w:val="24"/>
        </w:rPr>
        <w:t xml:space="preserve"> to </w:t>
      </w:r>
      <w:r w:rsidR="00391446" w:rsidRPr="00A936B3">
        <w:rPr>
          <w:rFonts w:cs="Times New Roman"/>
          <w:i/>
          <w:color w:val="181818"/>
          <w:sz w:val="24"/>
          <w:szCs w:val="24"/>
        </w:rPr>
        <w:t xml:space="preserve">capital markets for future </w:t>
      </w:r>
      <w:r w:rsidR="00977E03" w:rsidRPr="00A936B3">
        <w:rPr>
          <w:rFonts w:cs="Times New Roman"/>
          <w:i/>
          <w:color w:val="181818"/>
          <w:sz w:val="24"/>
          <w:szCs w:val="24"/>
        </w:rPr>
        <w:t>debt funding</w:t>
      </w:r>
      <w:r w:rsidRPr="00A936B3">
        <w:rPr>
          <w:rFonts w:cs="Times New Roman"/>
          <w:i/>
          <w:color w:val="181818"/>
          <w:sz w:val="24"/>
          <w:szCs w:val="24"/>
        </w:rPr>
        <w:t xml:space="preserve"> </w:t>
      </w:r>
      <w:r w:rsidR="00391446" w:rsidRPr="00A936B3">
        <w:rPr>
          <w:rFonts w:cs="Times New Roman"/>
          <w:i/>
          <w:color w:val="181818"/>
          <w:sz w:val="24"/>
          <w:szCs w:val="24"/>
        </w:rPr>
        <w:t>needs</w:t>
      </w:r>
    </w:p>
    <w:p w14:paraId="20CBF632" w14:textId="2B212D23" w:rsidR="00977E03" w:rsidRPr="00A936B3" w:rsidRDefault="00977E03" w:rsidP="00654A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181818"/>
          <w:sz w:val="24"/>
          <w:szCs w:val="24"/>
        </w:rPr>
      </w:pPr>
      <w:r w:rsidRPr="00A936B3">
        <w:rPr>
          <w:rFonts w:cs="Times New Roman"/>
          <w:b/>
          <w:i/>
          <w:color w:val="181818"/>
          <w:sz w:val="24"/>
          <w:szCs w:val="24"/>
        </w:rPr>
        <w:t xml:space="preserve">Higher costs </w:t>
      </w:r>
      <w:r w:rsidR="00762157" w:rsidRPr="00A936B3">
        <w:rPr>
          <w:rFonts w:cs="Times New Roman"/>
          <w:i/>
          <w:color w:val="181818"/>
          <w:sz w:val="24"/>
          <w:szCs w:val="24"/>
        </w:rPr>
        <w:t xml:space="preserve">for individual campuses and </w:t>
      </w:r>
      <w:r w:rsidRPr="00A936B3">
        <w:rPr>
          <w:rFonts w:cs="Times New Roman"/>
          <w:i/>
          <w:color w:val="181818"/>
          <w:sz w:val="24"/>
          <w:szCs w:val="24"/>
        </w:rPr>
        <w:t xml:space="preserve"> health system to issue debt</w:t>
      </w:r>
      <w:r w:rsidR="00762157" w:rsidRPr="00A936B3">
        <w:rPr>
          <w:rFonts w:cs="Times New Roman"/>
          <w:i/>
          <w:color w:val="181818"/>
          <w:sz w:val="24"/>
          <w:szCs w:val="24"/>
        </w:rPr>
        <w:t xml:space="preserve"> separately</w:t>
      </w:r>
    </w:p>
    <w:p w14:paraId="44D44C9B" w14:textId="77777777" w:rsidR="00654A56" w:rsidRDefault="00654A56" w:rsidP="00654A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181818"/>
          <w:sz w:val="24"/>
          <w:szCs w:val="24"/>
        </w:rPr>
      </w:pPr>
    </w:p>
    <w:p w14:paraId="1F8BAEE0" w14:textId="7C8672B6" w:rsidR="00654A56" w:rsidRDefault="00654A56" w:rsidP="00654A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181818"/>
          <w:sz w:val="24"/>
          <w:szCs w:val="24"/>
        </w:rPr>
      </w:pPr>
      <w:r>
        <w:rPr>
          <w:rFonts w:cs="Times New Roman"/>
          <w:b/>
          <w:color w:val="181818"/>
          <w:sz w:val="24"/>
          <w:szCs w:val="24"/>
        </w:rPr>
        <w:t>S&amp;P Rating Peers</w:t>
      </w:r>
      <w:r w:rsidR="00A936B3">
        <w:rPr>
          <w:rFonts w:cs="Times New Roman"/>
          <w:b/>
          <w:color w:val="181818"/>
          <w:sz w:val="24"/>
          <w:szCs w:val="24"/>
        </w:rPr>
        <w:t xml:space="preserve"> </w:t>
      </w:r>
      <w:r w:rsidR="00A936B3" w:rsidRPr="00E44748">
        <w:rPr>
          <w:rFonts w:cs="Times New Roman"/>
          <w:color w:val="181818"/>
          <w:sz w:val="24"/>
          <w:szCs w:val="24"/>
        </w:rPr>
        <w:t>(as of Fiscal Year 2015)</w:t>
      </w:r>
      <w:r w:rsidRPr="00E44748">
        <w:rPr>
          <w:rFonts w:cs="Times New Roman"/>
          <w:color w:val="181818"/>
          <w:sz w:val="24"/>
          <w:szCs w:val="24"/>
        </w:rPr>
        <w:t>:</w:t>
      </w:r>
    </w:p>
    <w:p w14:paraId="4CC095AD" w14:textId="77777777" w:rsidR="00654A56" w:rsidRDefault="00654A56" w:rsidP="00654A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181818"/>
          <w:sz w:val="24"/>
          <w:szCs w:val="24"/>
        </w:rPr>
      </w:pPr>
    </w:p>
    <w:tbl>
      <w:tblPr>
        <w:tblW w:w="8980" w:type="dxa"/>
        <w:tblLook w:val="04A0" w:firstRow="1" w:lastRow="0" w:firstColumn="1" w:lastColumn="0" w:noHBand="0" w:noVBand="1"/>
      </w:tblPr>
      <w:tblGrid>
        <w:gridCol w:w="3150"/>
        <w:gridCol w:w="2970"/>
        <w:gridCol w:w="2860"/>
      </w:tblGrid>
      <w:tr w:rsidR="00FD7833" w:rsidRPr="00FD7833" w14:paraId="38137EC7" w14:textId="77777777" w:rsidTr="00704887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133AE092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AAA Rated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54C608E5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AA Rated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4C501A73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AA- Rated</w:t>
            </w:r>
          </w:p>
        </w:tc>
      </w:tr>
      <w:tr w:rsidR="00FD7833" w:rsidRPr="00FD7833" w14:paraId="48735326" w14:textId="77777777" w:rsidTr="00704887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35954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Michigan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6DED5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Florida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F59C2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Auburn University</w:t>
            </w:r>
          </w:p>
        </w:tc>
      </w:tr>
      <w:tr w:rsidR="00FD7833" w:rsidRPr="00FD7833" w14:paraId="39DC72A6" w14:textId="77777777" w:rsidTr="00704887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9B352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Texas System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11474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Kentucky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A5A70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Kansas State University</w:t>
            </w:r>
          </w:p>
        </w:tc>
      </w:tr>
      <w:tr w:rsidR="00FD7833" w:rsidRPr="00FD7833" w14:paraId="6B762473" w14:textId="77777777" w:rsidTr="00704887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71CCD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8BDC9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Mississippi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5B5A4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Oklahoma State University</w:t>
            </w:r>
          </w:p>
        </w:tc>
      </w:tr>
      <w:tr w:rsidR="00FD7833" w:rsidRPr="00FD7833" w14:paraId="7013C6DD" w14:textId="77777777" w:rsidTr="00704887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2E6141BF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AA+ Rated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3FA80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Vanderbilt University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DF098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Arizona</w:t>
            </w:r>
          </w:p>
        </w:tc>
      </w:tr>
      <w:tr w:rsidR="00FD7833" w:rsidRPr="00FD7833" w14:paraId="02196E8C" w14:textId="77777777" w:rsidTr="00704887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10FB6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Indiana University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483AC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Nebraska System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C2D0F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Alabama</w:t>
            </w:r>
          </w:p>
        </w:tc>
      </w:tr>
      <w:tr w:rsidR="00FD7833" w:rsidRPr="00FD7833" w14:paraId="2A5ECB09" w14:textId="77777777" w:rsidTr="00704887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29906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Purdue University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53C71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Iowa State University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CB3E9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Illinois</w:t>
            </w:r>
          </w:p>
        </w:tc>
      </w:tr>
      <w:tr w:rsidR="00FD7833" w:rsidRPr="00FD7833" w14:paraId="015246B9" w14:textId="77777777" w:rsidTr="00704887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FE67F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Texas A&amp;M University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A61E4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Florida State University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A33CF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Oklahoma</w:t>
            </w:r>
          </w:p>
        </w:tc>
      </w:tr>
      <w:tr w:rsidR="00FD7833" w:rsidRPr="00FD7833" w14:paraId="40FFC6E9" w14:textId="77777777" w:rsidTr="00704887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FD55D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Washington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9266D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Mexico State University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42080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Massachusetts</w:t>
            </w:r>
          </w:p>
        </w:tc>
      </w:tr>
      <w:tr w:rsidR="00FD7833" w:rsidRPr="00FD7833" w14:paraId="7FCB4D79" w14:textId="77777777" w:rsidTr="00704887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EAE97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System of Maryland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C9772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Carolina State University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AB9EB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Oregon</w:t>
            </w:r>
          </w:p>
        </w:tc>
      </w:tr>
      <w:tr w:rsidR="00FD7833" w:rsidRPr="00FD7833" w14:paraId="21805F9E" w14:textId="77777777" w:rsidTr="00704887">
        <w:trPr>
          <w:trHeight w:val="25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82ABF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University of Missouri System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CAABD" w14:textId="0A19FD0E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Ohio State University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F0E32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South Florida</w:t>
            </w:r>
          </w:p>
        </w:tc>
      </w:tr>
      <w:tr w:rsidR="00FD7833" w:rsidRPr="00FD7833" w14:paraId="066EFDAC" w14:textId="77777777" w:rsidTr="00704887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106DD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Delaware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13DA7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Iowa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702B1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Wyoming</w:t>
            </w:r>
          </w:p>
        </w:tc>
      </w:tr>
      <w:tr w:rsidR="00FD7833" w:rsidRPr="00FD7833" w14:paraId="745051D0" w14:textId="77777777" w:rsidTr="00704887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659E4" w14:textId="4CEBB8B6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Pittsburg</w:t>
            </w:r>
            <w:r w:rsidR="00A93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378AF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California System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9D154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Washington State University</w:t>
            </w:r>
          </w:p>
        </w:tc>
      </w:tr>
      <w:tr w:rsidR="00FD7833" w:rsidRPr="00FD7833" w14:paraId="4F9E942A" w14:textId="77777777" w:rsidTr="00704887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F91A5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3552A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Minnesota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6E727" w14:textId="77777777" w:rsidR="00FD7833" w:rsidRPr="00FD7833" w:rsidRDefault="00FD7833" w:rsidP="00FD7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Wayne State University</w:t>
            </w:r>
          </w:p>
        </w:tc>
      </w:tr>
    </w:tbl>
    <w:p w14:paraId="11A6F6A9" w14:textId="77777777" w:rsidR="00654A56" w:rsidRPr="00654A56" w:rsidRDefault="00654A56" w:rsidP="00A936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181818"/>
          <w:sz w:val="24"/>
          <w:szCs w:val="24"/>
        </w:rPr>
      </w:pPr>
    </w:p>
    <w:sectPr w:rsidR="00654A56" w:rsidRPr="00654A56" w:rsidSect="00CF70FA">
      <w:headerReference w:type="default" r:id="rId10"/>
      <w:footerReference w:type="default" r:id="rId11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0938B" w14:textId="77777777" w:rsidR="00CB293D" w:rsidRDefault="00CB293D" w:rsidP="00720086">
      <w:pPr>
        <w:spacing w:after="0" w:line="240" w:lineRule="auto"/>
      </w:pPr>
      <w:r>
        <w:separator/>
      </w:r>
    </w:p>
  </w:endnote>
  <w:endnote w:type="continuationSeparator" w:id="0">
    <w:p w14:paraId="6DD3846A" w14:textId="77777777" w:rsidR="00CB293D" w:rsidRDefault="00CB293D" w:rsidP="0072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21D93" w14:textId="2B4F0E10" w:rsidR="00CF70FA" w:rsidRDefault="00CF70FA">
    <w:pPr>
      <w:pStyle w:val="Footer"/>
    </w:pPr>
    <w:r>
      <w:t>February 2016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3C96D" w14:textId="77777777" w:rsidR="00CB293D" w:rsidRDefault="00CB293D" w:rsidP="00720086">
      <w:pPr>
        <w:spacing w:after="0" w:line="240" w:lineRule="auto"/>
      </w:pPr>
      <w:r>
        <w:separator/>
      </w:r>
    </w:p>
  </w:footnote>
  <w:footnote w:type="continuationSeparator" w:id="0">
    <w:p w14:paraId="4C0D0610" w14:textId="77777777" w:rsidR="00CB293D" w:rsidRDefault="00CB293D" w:rsidP="0072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00473" w14:textId="77777777" w:rsidR="00720086" w:rsidRDefault="00720086" w:rsidP="00720086">
    <w:pPr>
      <w:pStyle w:val="Title"/>
    </w:pPr>
    <w:r w:rsidRPr="0062438C">
      <w:drawing>
        <wp:anchor distT="0" distB="0" distL="114300" distR="114300" simplePos="0" relativeHeight="251659264" behindDoc="0" locked="0" layoutInCell="1" allowOverlap="1" wp14:anchorId="5DB48465" wp14:editId="4839618C">
          <wp:simplePos x="0" y="0"/>
          <wp:positionH relativeFrom="column">
            <wp:posOffset>-57150</wp:posOffset>
          </wp:positionH>
          <wp:positionV relativeFrom="paragraph">
            <wp:posOffset>-123825</wp:posOffset>
          </wp:positionV>
          <wp:extent cx="857250" cy="8572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University of Missouri System </w:t>
    </w:r>
  </w:p>
  <w:p w14:paraId="2877A8CA" w14:textId="5C601FEF" w:rsidR="00720086" w:rsidRPr="00C94E15" w:rsidRDefault="00600348" w:rsidP="00600348">
    <w:pPr>
      <w:rPr>
        <w:sz w:val="28"/>
      </w:rPr>
    </w:pPr>
    <w:r>
      <w:rPr>
        <w:sz w:val="28"/>
      </w:rPr>
      <w:t xml:space="preserve">  </w:t>
    </w:r>
    <w:r w:rsidR="003B708F">
      <w:rPr>
        <w:sz w:val="28"/>
      </w:rPr>
      <w:t xml:space="preserve">Collective </w:t>
    </w:r>
    <w:r w:rsidR="00CD300D">
      <w:rPr>
        <w:sz w:val="28"/>
      </w:rPr>
      <w:t xml:space="preserve">Financial </w:t>
    </w:r>
    <w:r w:rsidR="00D52EC1">
      <w:rPr>
        <w:sz w:val="28"/>
      </w:rPr>
      <w:t>Strength</w:t>
    </w:r>
    <w:r w:rsidR="00686FEB">
      <w:rPr>
        <w:sz w:val="28"/>
      </w:rPr>
      <w:t xml:space="preserve"> </w:t>
    </w:r>
  </w:p>
  <w:p w14:paraId="0A42AEA1" w14:textId="77777777" w:rsidR="003B708F" w:rsidRPr="00600348" w:rsidRDefault="003B708F">
    <w:pPr>
      <w:pStyle w:val="Header"/>
      <w:rPr>
        <w:sz w:val="12"/>
      </w:rPr>
    </w:pPr>
  </w:p>
  <w:p w14:paraId="5539DE23" w14:textId="77777777" w:rsidR="00600348" w:rsidRDefault="00600348">
    <w:pPr>
      <w:pStyle w:val="Header"/>
      <w:rPr>
        <w:sz w:val="2"/>
        <w:szCs w:val="2"/>
      </w:rPr>
    </w:pPr>
  </w:p>
  <w:p w14:paraId="582CA205" w14:textId="77777777" w:rsidR="00600348" w:rsidRDefault="00600348" w:rsidP="00600348">
    <w:pPr>
      <w:pStyle w:val="Header"/>
      <w:pBdr>
        <w:bottom w:val="single" w:sz="4" w:space="1" w:color="auto"/>
      </w:pBdr>
      <w:rPr>
        <w:sz w:val="2"/>
        <w:szCs w:val="2"/>
      </w:rPr>
    </w:pPr>
  </w:p>
  <w:p w14:paraId="69BECF89" w14:textId="77777777" w:rsidR="00600348" w:rsidRDefault="00600348">
    <w:pPr>
      <w:pStyle w:val="Header"/>
      <w:rPr>
        <w:sz w:val="2"/>
        <w:szCs w:val="2"/>
      </w:rPr>
    </w:pPr>
  </w:p>
  <w:p w14:paraId="43507F32" w14:textId="77777777" w:rsidR="00600348" w:rsidRDefault="00600348">
    <w:pPr>
      <w:pStyle w:val="Header"/>
      <w:rPr>
        <w:sz w:val="2"/>
        <w:szCs w:val="2"/>
      </w:rPr>
    </w:pPr>
  </w:p>
  <w:p w14:paraId="022C71CA" w14:textId="77777777" w:rsidR="00600348" w:rsidRDefault="00600348">
    <w:pPr>
      <w:pStyle w:val="Header"/>
      <w:rPr>
        <w:sz w:val="2"/>
        <w:szCs w:val="2"/>
      </w:rPr>
    </w:pPr>
  </w:p>
  <w:p w14:paraId="7E1616F0" w14:textId="77777777" w:rsidR="00600348" w:rsidRDefault="00600348">
    <w:pPr>
      <w:pStyle w:val="Header"/>
      <w:rPr>
        <w:sz w:val="2"/>
        <w:szCs w:val="2"/>
      </w:rPr>
    </w:pPr>
  </w:p>
  <w:p w14:paraId="307AFD1C" w14:textId="77777777" w:rsidR="00600348" w:rsidRPr="00600348" w:rsidRDefault="00600348">
    <w:pPr>
      <w:pStyle w:val="Header"/>
      <w:rPr>
        <w:sz w:val="10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3509"/>
    <w:multiLevelType w:val="hybridMultilevel"/>
    <w:tmpl w:val="BE84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6132A"/>
    <w:multiLevelType w:val="hybridMultilevel"/>
    <w:tmpl w:val="E610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D0174"/>
    <w:multiLevelType w:val="hybridMultilevel"/>
    <w:tmpl w:val="B980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27604"/>
    <w:multiLevelType w:val="hybridMultilevel"/>
    <w:tmpl w:val="96B4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E3FBF"/>
    <w:multiLevelType w:val="hybridMultilevel"/>
    <w:tmpl w:val="6DD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0B"/>
    <w:rsid w:val="00035EC4"/>
    <w:rsid w:val="00066CFF"/>
    <w:rsid w:val="000D123B"/>
    <w:rsid w:val="001A72DD"/>
    <w:rsid w:val="002D68E6"/>
    <w:rsid w:val="00391446"/>
    <w:rsid w:val="003B708F"/>
    <w:rsid w:val="00415FF2"/>
    <w:rsid w:val="0042523C"/>
    <w:rsid w:val="004254BD"/>
    <w:rsid w:val="004845FC"/>
    <w:rsid w:val="00484869"/>
    <w:rsid w:val="005D62E5"/>
    <w:rsid w:val="00600348"/>
    <w:rsid w:val="00654A56"/>
    <w:rsid w:val="00686FEB"/>
    <w:rsid w:val="00704887"/>
    <w:rsid w:val="00720086"/>
    <w:rsid w:val="00762157"/>
    <w:rsid w:val="008427E8"/>
    <w:rsid w:val="00901ABA"/>
    <w:rsid w:val="00932124"/>
    <w:rsid w:val="00944E1A"/>
    <w:rsid w:val="00977E03"/>
    <w:rsid w:val="009A5B84"/>
    <w:rsid w:val="009C55A1"/>
    <w:rsid w:val="00A936B3"/>
    <w:rsid w:val="00AF7784"/>
    <w:rsid w:val="00BA0B9C"/>
    <w:rsid w:val="00C72A17"/>
    <w:rsid w:val="00C7530B"/>
    <w:rsid w:val="00C75CF1"/>
    <w:rsid w:val="00CB293D"/>
    <w:rsid w:val="00CD150C"/>
    <w:rsid w:val="00CD300D"/>
    <w:rsid w:val="00CE58F3"/>
    <w:rsid w:val="00CF70FA"/>
    <w:rsid w:val="00D52EC1"/>
    <w:rsid w:val="00DE551C"/>
    <w:rsid w:val="00E35206"/>
    <w:rsid w:val="00E44748"/>
    <w:rsid w:val="00E54426"/>
    <w:rsid w:val="00E56F8F"/>
    <w:rsid w:val="00E7561A"/>
    <w:rsid w:val="00E946D2"/>
    <w:rsid w:val="00F6395E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80D32"/>
  <w15:chartTrackingRefBased/>
  <w15:docId w15:val="{66194F71-01A3-4E8E-A417-AC1D67D3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0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086"/>
  </w:style>
  <w:style w:type="paragraph" w:styleId="Footer">
    <w:name w:val="footer"/>
    <w:basedOn w:val="Normal"/>
    <w:link w:val="FooterChar"/>
    <w:uiPriority w:val="99"/>
    <w:unhideWhenUsed/>
    <w:rsid w:val="00720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086"/>
  </w:style>
  <w:style w:type="paragraph" w:styleId="Title">
    <w:name w:val="Title"/>
    <w:basedOn w:val="Heading1"/>
    <w:next w:val="Normal"/>
    <w:link w:val="TitleChar"/>
    <w:uiPriority w:val="10"/>
    <w:qFormat/>
    <w:rsid w:val="00720086"/>
    <w:pPr>
      <w:spacing w:line="240" w:lineRule="auto"/>
      <w:jc w:val="both"/>
    </w:pPr>
    <w:rPr>
      <w:rFonts w:ascii="Arial" w:hAnsi="Arial" w:cs="Arial"/>
      <w:b/>
      <w:i/>
      <w:noProof/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720086"/>
    <w:rPr>
      <w:rFonts w:ascii="Arial" w:eastAsiaTheme="majorEastAsia" w:hAnsi="Arial" w:cs="Arial"/>
      <w:b/>
      <w:i/>
      <w:noProof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20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E58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1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A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1A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ogelweidej\Box%20Sync\Documents\BB%20Requests\Legislator%20Requests\Bond%20Rating%20Impact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600">
                <a:solidFill>
                  <a:sysClr val="windowText" lastClr="000000"/>
                </a:solidFill>
              </a:rPr>
              <a:t>Public Higher Education Institutions by S&amp;P Debt Rating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</c:spPr>
          </c:dPt>
          <c:cat>
            <c:strRef>
              <c:f>'9.30.15'!$K$24:$K$34</c:f>
              <c:strCache>
                <c:ptCount val="9"/>
                <c:pt idx="0">
                  <c:v>AAA</c:v>
                </c:pt>
                <c:pt idx="1">
                  <c:v>AA+</c:v>
                </c:pt>
                <c:pt idx="2">
                  <c:v>AA</c:v>
                </c:pt>
                <c:pt idx="3">
                  <c:v>AA-</c:v>
                </c:pt>
                <c:pt idx="4">
                  <c:v>A+</c:v>
                </c:pt>
                <c:pt idx="5">
                  <c:v>A</c:v>
                </c:pt>
                <c:pt idx="6">
                  <c:v>A-</c:v>
                </c:pt>
                <c:pt idx="7">
                  <c:v>BBB+</c:v>
                </c:pt>
                <c:pt idx="8">
                  <c:v>SG</c:v>
                </c:pt>
              </c:strCache>
            </c:strRef>
          </c:cat>
          <c:val>
            <c:numRef>
              <c:f>'9.30.15'!$L$24:$L$32</c:f>
              <c:numCache>
                <c:formatCode>General</c:formatCode>
                <c:ptCount val="9"/>
                <c:pt idx="0">
                  <c:v>8</c:v>
                </c:pt>
                <c:pt idx="1">
                  <c:v>13</c:v>
                </c:pt>
                <c:pt idx="2">
                  <c:v>37</c:v>
                </c:pt>
                <c:pt idx="3">
                  <c:v>42</c:v>
                </c:pt>
                <c:pt idx="4">
                  <c:v>51</c:v>
                </c:pt>
                <c:pt idx="5">
                  <c:v>18</c:v>
                </c:pt>
                <c:pt idx="6">
                  <c:v>15</c:v>
                </c:pt>
                <c:pt idx="7">
                  <c:v>6</c:v>
                </c:pt>
                <c:pt idx="8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6195912"/>
        <c:axId val="458454448"/>
      </c:barChart>
      <c:catAx>
        <c:axId val="346195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8454448"/>
        <c:crosses val="autoZero"/>
        <c:auto val="1"/>
        <c:lblAlgn val="ctr"/>
        <c:lblOffset val="100"/>
        <c:noMultiLvlLbl val="0"/>
      </c:catAx>
      <c:valAx>
        <c:axId val="45845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Institutions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195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6" Type="http://schemas.openxmlformats.org/officeDocument/2006/relationships/image" Target="../media/image6.png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0.30382</cdr:x>
      <cdr:y>0.29078</cdr:y>
    </cdr:from>
    <cdr:to>
      <cdr:x>0.37514</cdr:x>
      <cdr:y>0.41558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973604" y="1171575"/>
          <a:ext cx="463342" cy="50284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0.5921</cdr:x>
      <cdr:y>0.54964</cdr:y>
    </cdr:from>
    <cdr:to>
      <cdr:x>0.68865</cdr:x>
      <cdr:y>0.66898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3846307" y="2214526"/>
          <a:ext cx="627180" cy="480859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0.6918</cdr:x>
      <cdr:y>0.65131</cdr:y>
    </cdr:from>
    <cdr:to>
      <cdr:x>0.78289</cdr:x>
      <cdr:y>0.70972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4493952" y="2624177"/>
          <a:ext cx="591717" cy="235333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0.57344</cdr:x>
      <cdr:y>0.34752</cdr:y>
    </cdr:from>
    <cdr:to>
      <cdr:x>0.71609</cdr:x>
      <cdr:y>0.49851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3725064" y="1400175"/>
          <a:ext cx="926683" cy="608374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0.59927</cdr:x>
      <cdr:y>0.46099</cdr:y>
    </cdr:from>
    <cdr:to>
      <cdr:x>0.68486</cdr:x>
      <cdr:y>0.56753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5"/>
        <a:stretch xmlns:a="http://schemas.openxmlformats.org/drawingml/2006/main">
          <a:fillRect/>
        </a:stretch>
      </cdr:blipFill>
      <cdr:spPr>
        <a:xfrm xmlns:a="http://schemas.openxmlformats.org/drawingml/2006/main">
          <a:off x="3892899" y="1857374"/>
          <a:ext cx="556010" cy="42926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0.24421</cdr:x>
      <cdr:y>0.40568</cdr:y>
    </cdr:from>
    <cdr:to>
      <cdr:x>0.30769</cdr:x>
      <cdr:y>0.60757</cdr:y>
    </cdr:to>
    <cdr:cxnSp macro="">
      <cdr:nvCxnSpPr>
        <cdr:cNvPr id="9" name="Straight Arrow Connector 8"/>
        <cdr:cNvCxnSpPr>
          <a:stCxn xmlns:a="http://schemas.openxmlformats.org/drawingml/2006/main" id="2" idx="0"/>
        </cdr:cNvCxnSpPr>
      </cdr:nvCxnSpPr>
      <cdr:spPr>
        <a:xfrm xmlns:a="http://schemas.openxmlformats.org/drawingml/2006/main" flipV="1">
          <a:off x="1451516" y="1495425"/>
          <a:ext cx="377284" cy="744184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0.24893</cdr:x>
      <cdr:y>0.51426</cdr:y>
    </cdr:from>
    <cdr:to>
      <cdr:x>0.59927</cdr:x>
      <cdr:y>0.66322</cdr:y>
    </cdr:to>
    <cdr:cxnSp macro="">
      <cdr:nvCxnSpPr>
        <cdr:cNvPr id="13" name="Straight Arrow Connector 12"/>
        <cdr:cNvCxnSpPr>
          <a:endCxn xmlns:a="http://schemas.openxmlformats.org/drawingml/2006/main" id="6" idx="1"/>
        </cdr:cNvCxnSpPr>
      </cdr:nvCxnSpPr>
      <cdr:spPr>
        <a:xfrm xmlns:a="http://schemas.openxmlformats.org/drawingml/2006/main" flipV="1">
          <a:off x="1479550" y="1895653"/>
          <a:ext cx="2082271" cy="54909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0.28686</cdr:x>
      <cdr:y>0.60931</cdr:y>
    </cdr:from>
    <cdr:to>
      <cdr:x>0.5921</cdr:x>
      <cdr:y>0.677</cdr:y>
    </cdr:to>
    <cdr:cxnSp macro="">
      <cdr:nvCxnSpPr>
        <cdr:cNvPr id="16" name="Straight Arrow Connector 15"/>
        <cdr:cNvCxnSpPr>
          <a:endCxn xmlns:a="http://schemas.openxmlformats.org/drawingml/2006/main" id="4" idx="1"/>
        </cdr:cNvCxnSpPr>
      </cdr:nvCxnSpPr>
      <cdr:spPr>
        <a:xfrm xmlns:a="http://schemas.openxmlformats.org/drawingml/2006/main" flipV="1">
          <a:off x="1704975" y="2246023"/>
          <a:ext cx="1814231" cy="24952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0.28526</cdr:x>
      <cdr:y>0.68052</cdr:y>
    </cdr:from>
    <cdr:to>
      <cdr:x>0.6918</cdr:x>
      <cdr:y>0.69509</cdr:y>
    </cdr:to>
    <cdr:cxnSp macro="">
      <cdr:nvCxnSpPr>
        <cdr:cNvPr id="19" name="Straight Arrow Connector 18"/>
        <cdr:cNvCxnSpPr>
          <a:endCxn xmlns:a="http://schemas.openxmlformats.org/drawingml/2006/main" id="5" idx="1"/>
        </cdr:cNvCxnSpPr>
      </cdr:nvCxnSpPr>
      <cdr:spPr>
        <a:xfrm xmlns:a="http://schemas.openxmlformats.org/drawingml/2006/main" flipV="1">
          <a:off x="1695450" y="2508498"/>
          <a:ext cx="2416332" cy="5372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0.20356</cdr:x>
      <cdr:y>0.60757</cdr:y>
    </cdr:from>
    <cdr:to>
      <cdr:x>0.28487</cdr:x>
      <cdr:y>0.74257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6"/>
        <a:stretch xmlns:a="http://schemas.openxmlformats.org/drawingml/2006/main">
          <a:fillRect/>
        </a:stretch>
      </cdr:blipFill>
      <cdr:spPr>
        <a:xfrm xmlns:a="http://schemas.openxmlformats.org/drawingml/2006/main">
          <a:off x="1209879" y="2239609"/>
          <a:ext cx="483274" cy="497634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0.27404</cdr:x>
      <cdr:y>0.42302</cdr:y>
    </cdr:from>
    <cdr:to>
      <cdr:x>0.57344</cdr:x>
      <cdr:y>0.62791</cdr:y>
    </cdr:to>
    <cdr:cxnSp macro="">
      <cdr:nvCxnSpPr>
        <cdr:cNvPr id="11" name="Straight Arrow Connector 10"/>
        <cdr:cNvCxnSpPr>
          <a:endCxn xmlns:a="http://schemas.openxmlformats.org/drawingml/2006/main" id="7" idx="1"/>
        </cdr:cNvCxnSpPr>
      </cdr:nvCxnSpPr>
      <cdr:spPr>
        <a:xfrm xmlns:a="http://schemas.openxmlformats.org/drawingml/2006/main" flipV="1">
          <a:off x="1628775" y="1559308"/>
          <a:ext cx="1779523" cy="75526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Vogelweid, Eric J.</dc:creator>
  <cp:keywords/>
  <dc:description/>
  <cp:lastModifiedBy>Bradley, Memoree</cp:lastModifiedBy>
  <cp:revision>2</cp:revision>
  <cp:lastPrinted>2016-02-10T17:45:00Z</cp:lastPrinted>
  <dcterms:created xsi:type="dcterms:W3CDTF">2016-02-10T17:48:00Z</dcterms:created>
  <dcterms:modified xsi:type="dcterms:W3CDTF">2016-02-10T17:48:00Z</dcterms:modified>
</cp:coreProperties>
</file>